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A172C6">
        <w:rPr>
          <w:rFonts w:ascii="Palatino Linotype" w:hAnsi="Palatino Linotype" w:cs="Arial"/>
          <w:b/>
          <w:sz w:val="24"/>
          <w:szCs w:val="24"/>
        </w:rPr>
        <w:t>25</w:t>
      </w:r>
      <w:r w:rsidR="00365516">
        <w:rPr>
          <w:rFonts w:ascii="Palatino Linotype" w:hAnsi="Palatino Linotype" w:cs="Arial"/>
          <w:b/>
          <w:sz w:val="24"/>
          <w:szCs w:val="24"/>
        </w:rPr>
        <w:t>82</w:t>
      </w:r>
      <w:r w:rsidR="007E2CF8">
        <w:rPr>
          <w:rFonts w:ascii="Palatino Linotype" w:hAnsi="Palatino Linotype" w:cs="Arial"/>
          <w:b/>
          <w:sz w:val="24"/>
          <w:szCs w:val="24"/>
        </w:rPr>
        <w:t>/INFOEM/IP/RR/201</w:t>
      </w:r>
      <w:r w:rsidR="00AC17F8">
        <w:rPr>
          <w:rFonts w:ascii="Palatino Linotype" w:hAnsi="Palatino Linotype" w:cs="Arial"/>
          <w:b/>
          <w:sz w:val="24"/>
          <w:szCs w:val="24"/>
        </w:rPr>
        <w:t>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0A71F1" w:rsidRPr="00105730" w:rsidRDefault="000A71F1" w:rsidP="00C06207">
      <w:pPr>
        <w:spacing w:after="0" w:line="360" w:lineRule="auto"/>
        <w:jc w:val="center"/>
        <w:rPr>
          <w:rFonts w:ascii="Palatino Linotype" w:hAnsi="Palatino Linotype" w:cs="Arial"/>
          <w:b/>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6E0B4D" w:rsidRPr="006E0B4D" w:rsidRDefault="00EA2C08" w:rsidP="006E0B4D">
      <w:pPr>
        <w:pStyle w:val="TtulodeTDC"/>
        <w:spacing w:line="360" w:lineRule="auto"/>
        <w:jc w:val="center"/>
        <w:rPr>
          <w:rFonts w:ascii="Palatino Linotype" w:hAnsi="Palatino Linotype" w:cs="Arial"/>
          <w:b/>
          <w:color w:val="000000" w:themeColor="text1"/>
          <w:sz w:val="24"/>
          <w:szCs w:val="24"/>
        </w:rPr>
      </w:pPr>
      <w:r w:rsidRPr="006E0B4D">
        <w:rPr>
          <w:rFonts w:ascii="Palatino Linotype" w:hAnsi="Palatino Linotype" w:cs="Arial"/>
          <w:b/>
          <w:color w:val="000000" w:themeColor="text1"/>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46491C" w:rsidRPr="0001046D" w:rsidRDefault="0046491C" w:rsidP="006E0B4D">
          <w:pPr>
            <w:spacing w:after="0" w:line="360" w:lineRule="auto"/>
            <w:jc w:val="center"/>
            <w:rPr>
              <w:rFonts w:ascii="Palatino Linotype" w:hAnsi="Palatino Linotype"/>
            </w:rPr>
          </w:pPr>
        </w:p>
        <w:p w:rsidR="00D41A74" w:rsidRPr="005D2F06" w:rsidRDefault="0046491C" w:rsidP="00D41A74">
          <w:pPr>
            <w:pStyle w:val="TDC1"/>
            <w:spacing w:line="600" w:lineRule="auto"/>
            <w:rPr>
              <w:rFonts w:ascii="Palatino Linotype" w:eastAsiaTheme="minorEastAsia" w:hAnsi="Palatino Linotype" w:cs="Arial"/>
              <w:noProof/>
              <w:lang w:eastAsia="es-MX"/>
            </w:rPr>
          </w:pPr>
          <w:r w:rsidRPr="00D41A74">
            <w:rPr>
              <w:rFonts w:ascii="Palatino Linotype" w:hAnsi="Palatino Linotype" w:cs="Arial"/>
            </w:rPr>
            <w:fldChar w:fldCharType="begin"/>
          </w:r>
          <w:r w:rsidRPr="00D41A74">
            <w:rPr>
              <w:rFonts w:ascii="Palatino Linotype" w:hAnsi="Palatino Linotype" w:cs="Arial"/>
            </w:rPr>
            <w:instrText xml:space="preserve"> TOC \o "1-3" \h \z \u </w:instrText>
          </w:r>
          <w:r w:rsidRPr="00D41A74">
            <w:rPr>
              <w:rFonts w:ascii="Palatino Linotype" w:hAnsi="Palatino Linotype" w:cs="Arial"/>
            </w:rPr>
            <w:fldChar w:fldCharType="separate"/>
          </w:r>
          <w:hyperlink w:anchor="_Toc12635988" w:history="1">
            <w:r w:rsidR="00D41A74" w:rsidRPr="005D2F06">
              <w:rPr>
                <w:rStyle w:val="Hipervnculo"/>
                <w:rFonts w:ascii="Palatino Linotype" w:hAnsi="Palatino Linotype" w:cs="Arial"/>
                <w:b/>
                <w:noProof/>
              </w:rPr>
              <w:t>I.</w:t>
            </w:r>
            <w:r w:rsidR="00D41A74" w:rsidRPr="005D2F06">
              <w:rPr>
                <w:rFonts w:ascii="Palatino Linotype" w:eastAsiaTheme="minorEastAsia" w:hAnsi="Palatino Linotype" w:cs="Arial"/>
                <w:noProof/>
                <w:lang w:eastAsia="es-MX"/>
              </w:rPr>
              <w:tab/>
            </w:r>
            <w:r w:rsidR="00D41A74" w:rsidRPr="005D2F06">
              <w:rPr>
                <w:rStyle w:val="Hipervnculo"/>
                <w:rFonts w:ascii="Palatino Linotype" w:hAnsi="Palatino Linotype" w:cs="Arial"/>
                <w:b/>
                <w:noProof/>
              </w:rPr>
              <w:t>Consideraciones Generales.</w:t>
            </w:r>
            <w:r w:rsidR="00D41A74" w:rsidRPr="005D2F06">
              <w:rPr>
                <w:rFonts w:ascii="Palatino Linotype" w:hAnsi="Palatino Linotype" w:cs="Arial"/>
                <w:noProof/>
                <w:webHidden/>
              </w:rPr>
              <w:tab/>
            </w:r>
            <w:r w:rsidR="00D41A74" w:rsidRPr="005D2F06">
              <w:rPr>
                <w:rFonts w:ascii="Palatino Linotype" w:hAnsi="Palatino Linotype" w:cs="Arial"/>
                <w:noProof/>
                <w:webHidden/>
              </w:rPr>
              <w:fldChar w:fldCharType="begin"/>
            </w:r>
            <w:r w:rsidR="00D41A74" w:rsidRPr="005D2F06">
              <w:rPr>
                <w:rFonts w:ascii="Palatino Linotype" w:hAnsi="Palatino Linotype" w:cs="Arial"/>
                <w:noProof/>
                <w:webHidden/>
              </w:rPr>
              <w:instrText xml:space="preserve"> PAGEREF _Toc12635988 \h </w:instrText>
            </w:r>
            <w:r w:rsidR="00D41A74" w:rsidRPr="005D2F06">
              <w:rPr>
                <w:rFonts w:ascii="Palatino Linotype" w:hAnsi="Palatino Linotype" w:cs="Arial"/>
                <w:noProof/>
                <w:webHidden/>
              </w:rPr>
            </w:r>
            <w:r w:rsidR="00D41A74" w:rsidRPr="005D2F06">
              <w:rPr>
                <w:rFonts w:ascii="Palatino Linotype" w:hAnsi="Palatino Linotype" w:cs="Arial"/>
                <w:noProof/>
                <w:webHidden/>
              </w:rPr>
              <w:fldChar w:fldCharType="separate"/>
            </w:r>
            <w:r w:rsidR="001963CE">
              <w:rPr>
                <w:rFonts w:ascii="Palatino Linotype" w:hAnsi="Palatino Linotype" w:cs="Arial"/>
                <w:noProof/>
                <w:webHidden/>
              </w:rPr>
              <w:t>2</w:t>
            </w:r>
            <w:r w:rsidR="00D41A74" w:rsidRPr="005D2F06">
              <w:rPr>
                <w:rFonts w:ascii="Palatino Linotype" w:hAnsi="Palatino Linotype" w:cs="Arial"/>
                <w:noProof/>
                <w:webHidden/>
              </w:rPr>
              <w:fldChar w:fldCharType="end"/>
            </w:r>
          </w:hyperlink>
        </w:p>
        <w:p w:rsidR="00D41A74" w:rsidRPr="005D2F06" w:rsidRDefault="003A24B3" w:rsidP="00D41A74">
          <w:pPr>
            <w:pStyle w:val="TDC1"/>
            <w:spacing w:line="600" w:lineRule="auto"/>
            <w:rPr>
              <w:rFonts w:ascii="Palatino Linotype" w:eastAsiaTheme="minorEastAsia" w:hAnsi="Palatino Linotype" w:cs="Arial"/>
              <w:noProof/>
              <w:lang w:eastAsia="es-MX"/>
            </w:rPr>
          </w:pPr>
          <w:hyperlink w:anchor="_Toc12635989" w:history="1">
            <w:r w:rsidR="00D41A74" w:rsidRPr="005D2F06">
              <w:rPr>
                <w:rStyle w:val="Hipervnculo"/>
                <w:rFonts w:ascii="Palatino Linotype" w:hAnsi="Palatino Linotype" w:cs="Arial"/>
                <w:b/>
                <w:noProof/>
              </w:rPr>
              <w:t>II.</w:t>
            </w:r>
            <w:r w:rsidR="00D41A74" w:rsidRPr="005D2F06">
              <w:rPr>
                <w:rFonts w:ascii="Palatino Linotype" w:eastAsiaTheme="minorEastAsia" w:hAnsi="Palatino Linotype" w:cs="Arial"/>
                <w:noProof/>
                <w:lang w:eastAsia="es-MX"/>
              </w:rPr>
              <w:tab/>
            </w:r>
            <w:r w:rsidR="00D41A74" w:rsidRPr="005D2F06">
              <w:rPr>
                <w:rStyle w:val="Hipervnculo"/>
                <w:rFonts w:ascii="Palatino Linotype" w:hAnsi="Palatino Linotype" w:cs="Arial"/>
                <w:b/>
                <w:noProof/>
              </w:rPr>
              <w:t>De los requerimientos planteados en el recurso de revisión.</w:t>
            </w:r>
            <w:r w:rsidR="00D41A74" w:rsidRPr="005D2F06">
              <w:rPr>
                <w:rFonts w:ascii="Palatino Linotype" w:hAnsi="Palatino Linotype" w:cs="Arial"/>
                <w:noProof/>
                <w:webHidden/>
              </w:rPr>
              <w:tab/>
            </w:r>
            <w:r w:rsidR="00D41A74" w:rsidRPr="005D2F06">
              <w:rPr>
                <w:rFonts w:ascii="Palatino Linotype" w:hAnsi="Palatino Linotype" w:cs="Arial"/>
                <w:noProof/>
                <w:webHidden/>
              </w:rPr>
              <w:fldChar w:fldCharType="begin"/>
            </w:r>
            <w:r w:rsidR="00D41A74" w:rsidRPr="005D2F06">
              <w:rPr>
                <w:rFonts w:ascii="Palatino Linotype" w:hAnsi="Palatino Linotype" w:cs="Arial"/>
                <w:noProof/>
                <w:webHidden/>
              </w:rPr>
              <w:instrText xml:space="preserve"> PAGEREF _Toc12635989 \h </w:instrText>
            </w:r>
            <w:r w:rsidR="00D41A74" w:rsidRPr="005D2F06">
              <w:rPr>
                <w:rFonts w:ascii="Palatino Linotype" w:hAnsi="Palatino Linotype" w:cs="Arial"/>
                <w:noProof/>
                <w:webHidden/>
              </w:rPr>
            </w:r>
            <w:r w:rsidR="00D41A74" w:rsidRPr="005D2F06">
              <w:rPr>
                <w:rFonts w:ascii="Palatino Linotype" w:hAnsi="Palatino Linotype" w:cs="Arial"/>
                <w:noProof/>
                <w:webHidden/>
              </w:rPr>
              <w:fldChar w:fldCharType="separate"/>
            </w:r>
            <w:r w:rsidR="001963CE">
              <w:rPr>
                <w:rFonts w:ascii="Palatino Linotype" w:hAnsi="Palatino Linotype" w:cs="Arial"/>
                <w:noProof/>
                <w:webHidden/>
              </w:rPr>
              <w:t>3</w:t>
            </w:r>
            <w:r w:rsidR="00D41A74" w:rsidRPr="005D2F06">
              <w:rPr>
                <w:rFonts w:ascii="Palatino Linotype" w:hAnsi="Palatino Linotype" w:cs="Arial"/>
                <w:noProof/>
                <w:webHidden/>
              </w:rPr>
              <w:fldChar w:fldCharType="end"/>
            </w:r>
          </w:hyperlink>
        </w:p>
        <w:p w:rsidR="00D41A74" w:rsidRPr="005D2F06" w:rsidRDefault="003A24B3" w:rsidP="00D41A74">
          <w:pPr>
            <w:pStyle w:val="TDC1"/>
            <w:spacing w:after="0" w:line="240" w:lineRule="auto"/>
            <w:rPr>
              <w:rFonts w:ascii="Palatino Linotype" w:eastAsiaTheme="minorEastAsia" w:hAnsi="Palatino Linotype" w:cs="Arial"/>
              <w:noProof/>
              <w:lang w:eastAsia="es-MX"/>
            </w:rPr>
          </w:pPr>
          <w:hyperlink w:anchor="_Toc12635990" w:history="1">
            <w:r w:rsidR="00D41A74" w:rsidRPr="005D2F06">
              <w:rPr>
                <w:rStyle w:val="Hipervnculo"/>
                <w:rFonts w:ascii="Palatino Linotype" w:hAnsi="Palatino Linotype" w:cs="Arial"/>
                <w:b/>
                <w:noProof/>
              </w:rPr>
              <w:t>III.</w:t>
            </w:r>
            <w:r w:rsidR="00D41A74" w:rsidRPr="005D2F06">
              <w:rPr>
                <w:rFonts w:ascii="Palatino Linotype" w:eastAsiaTheme="minorEastAsia" w:hAnsi="Palatino Linotype" w:cs="Arial"/>
                <w:noProof/>
                <w:lang w:eastAsia="es-MX"/>
              </w:rPr>
              <w:tab/>
            </w:r>
            <w:r w:rsidR="00D41A74" w:rsidRPr="005D2F06">
              <w:rPr>
                <w:rStyle w:val="Hipervnculo"/>
                <w:rFonts w:ascii="Palatino Linotype" w:hAnsi="Palatino Linotype" w:cs="Arial"/>
                <w:b/>
                <w:noProof/>
              </w:rPr>
              <w:t>Los actos consentidos no deben invocarse en el derecho fundamental de acceder a la información pública gubernamental.</w:t>
            </w:r>
            <w:r w:rsidR="00D41A74" w:rsidRPr="005D2F06">
              <w:rPr>
                <w:rFonts w:ascii="Palatino Linotype" w:hAnsi="Palatino Linotype" w:cs="Arial"/>
                <w:noProof/>
                <w:webHidden/>
              </w:rPr>
              <w:tab/>
            </w:r>
            <w:r w:rsidR="00D41A74" w:rsidRPr="005D2F06">
              <w:rPr>
                <w:rFonts w:ascii="Palatino Linotype" w:hAnsi="Palatino Linotype" w:cs="Arial"/>
                <w:noProof/>
                <w:webHidden/>
              </w:rPr>
              <w:fldChar w:fldCharType="begin"/>
            </w:r>
            <w:r w:rsidR="00D41A74" w:rsidRPr="005D2F06">
              <w:rPr>
                <w:rFonts w:ascii="Palatino Linotype" w:hAnsi="Palatino Linotype" w:cs="Arial"/>
                <w:noProof/>
                <w:webHidden/>
              </w:rPr>
              <w:instrText xml:space="preserve"> PAGEREF _Toc12635990 \h </w:instrText>
            </w:r>
            <w:r w:rsidR="00D41A74" w:rsidRPr="005D2F06">
              <w:rPr>
                <w:rFonts w:ascii="Palatino Linotype" w:hAnsi="Palatino Linotype" w:cs="Arial"/>
                <w:noProof/>
                <w:webHidden/>
              </w:rPr>
            </w:r>
            <w:r w:rsidR="00D41A74" w:rsidRPr="005D2F06">
              <w:rPr>
                <w:rFonts w:ascii="Palatino Linotype" w:hAnsi="Palatino Linotype" w:cs="Arial"/>
                <w:noProof/>
                <w:webHidden/>
              </w:rPr>
              <w:fldChar w:fldCharType="separate"/>
            </w:r>
            <w:r w:rsidR="001963CE">
              <w:rPr>
                <w:rFonts w:ascii="Palatino Linotype" w:hAnsi="Palatino Linotype" w:cs="Arial"/>
                <w:noProof/>
                <w:webHidden/>
              </w:rPr>
              <w:t>7</w:t>
            </w:r>
            <w:r w:rsidR="00D41A74" w:rsidRPr="005D2F06">
              <w:rPr>
                <w:rFonts w:ascii="Palatino Linotype" w:hAnsi="Palatino Linotype" w:cs="Arial"/>
                <w:noProof/>
                <w:webHidden/>
              </w:rPr>
              <w:fldChar w:fldCharType="end"/>
            </w:r>
          </w:hyperlink>
        </w:p>
        <w:p w:rsidR="0046491C" w:rsidRPr="004E70B6" w:rsidRDefault="0046491C" w:rsidP="00D41A74">
          <w:pPr>
            <w:spacing w:line="600" w:lineRule="auto"/>
            <w:rPr>
              <w:rFonts w:ascii="Palatino Linotype" w:hAnsi="Palatino Linotype"/>
              <w:b/>
              <w:bCs/>
              <w:lang w:val="es-ES"/>
            </w:rPr>
          </w:pPr>
          <w:r w:rsidRPr="00D41A74">
            <w:rPr>
              <w:rFonts w:ascii="Palatino Linotype" w:hAnsi="Palatino Linotype" w:cs="Arial"/>
              <w:b/>
              <w:bCs/>
              <w:lang w:val="es-ES"/>
            </w:rPr>
            <w:fldChar w:fldCharType="end"/>
          </w:r>
        </w:p>
      </w:sdtContent>
    </w:sdt>
    <w:p w:rsidR="0046491C" w:rsidRPr="0001046D" w:rsidRDefault="0046491C" w:rsidP="00466F58">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12635988"/>
      <w:r w:rsidRPr="0001046D">
        <w:rPr>
          <w:rFonts w:ascii="Palatino Linotype" w:hAnsi="Palatino Linotype"/>
          <w:b/>
          <w:color w:val="auto"/>
          <w:sz w:val="24"/>
          <w:szCs w:val="24"/>
        </w:rPr>
        <w:t>Consideraciones Generales.</w:t>
      </w:r>
      <w:bookmarkEnd w:id="1"/>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466F58">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E47420">
        <w:rPr>
          <w:rFonts w:ascii="Palatino Linotype" w:hAnsi="Palatino Linotype" w:cs="Arial"/>
          <w:sz w:val="24"/>
          <w:szCs w:val="24"/>
        </w:rPr>
        <w:t xml:space="preserve">Vigésima </w:t>
      </w:r>
      <w:r w:rsidR="00A172C6">
        <w:rPr>
          <w:rFonts w:ascii="Palatino Linotype" w:hAnsi="Palatino Linotype" w:cs="Arial"/>
          <w:sz w:val="24"/>
          <w:szCs w:val="24"/>
        </w:rPr>
        <w:t xml:space="preserve">Cuarta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A172C6">
        <w:rPr>
          <w:rFonts w:ascii="Palatino Linotype" w:hAnsi="Palatino Linotype" w:cs="Arial"/>
          <w:sz w:val="24"/>
          <w:szCs w:val="24"/>
        </w:rPr>
        <w:t>veintiséis</w:t>
      </w:r>
      <w:r w:rsidR="00E47420">
        <w:rPr>
          <w:rFonts w:ascii="Palatino Linotype" w:hAnsi="Palatino Linotype" w:cs="Arial"/>
          <w:sz w:val="24"/>
          <w:szCs w:val="24"/>
        </w:rPr>
        <w:t xml:space="preserve"> </w:t>
      </w:r>
      <w:r w:rsidRPr="00E34F08">
        <w:rPr>
          <w:rFonts w:ascii="Palatino Linotype" w:hAnsi="Palatino Linotype" w:cs="Arial"/>
          <w:sz w:val="24"/>
          <w:szCs w:val="24"/>
        </w:rPr>
        <w:t>(</w:t>
      </w:r>
      <w:r w:rsidR="00A172C6">
        <w:rPr>
          <w:rFonts w:ascii="Palatino Linotype" w:hAnsi="Palatino Linotype" w:cs="Arial"/>
          <w:sz w:val="24"/>
          <w:szCs w:val="24"/>
        </w:rPr>
        <w:t>26</w:t>
      </w:r>
      <w:r w:rsidR="00225026" w:rsidRPr="00E34F08">
        <w:rPr>
          <w:rFonts w:ascii="Palatino Linotype" w:hAnsi="Palatino Linotype" w:cs="Arial"/>
          <w:sz w:val="24"/>
          <w:szCs w:val="24"/>
        </w:rPr>
        <w:t xml:space="preserve">) de </w:t>
      </w:r>
      <w:r w:rsidR="00A172C6">
        <w:rPr>
          <w:rFonts w:ascii="Palatino Linotype" w:hAnsi="Palatino Linotype" w:cs="Arial"/>
          <w:sz w:val="24"/>
          <w:szCs w:val="24"/>
        </w:rPr>
        <w:t>juni</w:t>
      </w:r>
      <w:r w:rsidR="00E47420">
        <w:rPr>
          <w:rFonts w:ascii="Palatino Linotype" w:hAnsi="Palatino Linotype" w:cs="Arial"/>
          <w:sz w:val="24"/>
          <w:szCs w:val="24"/>
        </w:rPr>
        <w:t>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A71F1" w:rsidRPr="000A71F1">
        <w:rPr>
          <w:rFonts w:ascii="Palatino Linotype" w:hAnsi="Palatino Linotype" w:cs="Arial"/>
          <w:sz w:val="24"/>
          <w:szCs w:val="24"/>
        </w:rPr>
        <w:t>un</w:t>
      </w:r>
      <w:r w:rsidR="00A172C6">
        <w:rPr>
          <w:rFonts w:ascii="Palatino Linotype" w:hAnsi="Palatino Linotype" w:cs="Arial"/>
          <w:sz w:val="24"/>
          <w:szCs w:val="24"/>
        </w:rPr>
        <w:t>a</w:t>
      </w:r>
      <w:r w:rsidR="000A71F1" w:rsidRPr="000A71F1">
        <w:rPr>
          <w:rFonts w:ascii="Palatino Linotype" w:hAnsi="Palatino Linotype" w:cs="Arial"/>
          <w:sz w:val="24"/>
          <w:szCs w:val="24"/>
        </w:rPr>
        <w:t xml:space="preserve">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del </w:t>
      </w:r>
      <w:r w:rsidR="00365516">
        <w:rPr>
          <w:rFonts w:ascii="Palatino Linotype" w:hAnsi="Palatino Linotype" w:cs="Arial"/>
          <w:b/>
          <w:sz w:val="24"/>
          <w:szCs w:val="24"/>
        </w:rPr>
        <w:t>Instituto de Salud del Estado de México</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A172C6">
        <w:rPr>
          <w:rFonts w:ascii="Palatino Linotype" w:eastAsia="Times New Roman" w:hAnsi="Palatino Linotype" w:cs="Arial"/>
          <w:b/>
          <w:bCs/>
          <w:sz w:val="24"/>
          <w:szCs w:val="24"/>
          <w:lang w:eastAsia="es-ES"/>
        </w:rPr>
        <w:t>25</w:t>
      </w:r>
      <w:r w:rsidR="00365516">
        <w:rPr>
          <w:rFonts w:ascii="Palatino Linotype" w:eastAsia="Times New Roman" w:hAnsi="Palatino Linotype" w:cs="Arial"/>
          <w:b/>
          <w:bCs/>
          <w:sz w:val="24"/>
          <w:szCs w:val="24"/>
          <w:lang w:eastAsia="es-ES"/>
        </w:rPr>
        <w:t>82</w:t>
      </w:r>
      <w:r w:rsidR="008C2FF2">
        <w:rPr>
          <w:rFonts w:ascii="Palatino Linotype" w:eastAsia="Times New Roman" w:hAnsi="Palatino Linotype" w:cs="Arial"/>
          <w:b/>
          <w:bCs/>
          <w:sz w:val="24"/>
          <w:szCs w:val="24"/>
          <w:lang w:eastAsia="es-ES"/>
        </w:rPr>
        <w:t>/INFOEM/IP/RR/201</w:t>
      </w:r>
      <w:r w:rsidR="00466F58">
        <w:rPr>
          <w:rFonts w:ascii="Palatino Linotype" w:eastAsia="Times New Roman" w:hAnsi="Palatino Linotype" w:cs="Arial"/>
          <w:b/>
          <w:bCs/>
          <w:sz w:val="24"/>
          <w:szCs w:val="24"/>
          <w:lang w:eastAsia="es-ES"/>
        </w:rPr>
        <w:t>9</w:t>
      </w:r>
      <w:r w:rsidR="0000525F" w:rsidRPr="00E34F08">
        <w:rPr>
          <w:rFonts w:ascii="Palatino Linotype" w:eastAsia="Times New Roman" w:hAnsi="Palatino Linotype" w:cs="Arial"/>
          <w:b/>
          <w:bCs/>
          <w:sz w:val="24"/>
          <w:szCs w:val="24"/>
          <w:lang w:eastAsia="es-ES"/>
        </w:rPr>
        <w:t>.</w:t>
      </w:r>
    </w:p>
    <w:p w:rsidR="0000525F" w:rsidRPr="00F3161F" w:rsidRDefault="0000525F" w:rsidP="00E34F08">
      <w:pPr>
        <w:pStyle w:val="Prrafodelista"/>
        <w:spacing w:after="0" w:line="360" w:lineRule="auto"/>
        <w:ind w:left="426"/>
        <w:jc w:val="both"/>
        <w:rPr>
          <w:rFonts w:ascii="Palatino Linotype" w:hAnsi="Palatino Linotype" w:cs="Arial"/>
          <w:sz w:val="20"/>
          <w:szCs w:val="24"/>
        </w:rPr>
      </w:pPr>
    </w:p>
    <w:p w:rsidR="0011321E" w:rsidRDefault="008E4128" w:rsidP="00466F58">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A través del estudio realizado dentro de la resolución que al rubro se indica, la Ponencia Resolutora determinó que</w:t>
      </w:r>
      <w:r w:rsidR="001B088A">
        <w:rPr>
          <w:rFonts w:ascii="Palatino Linotype" w:hAnsi="Palatino Linotype" w:cs="Arial"/>
          <w:sz w:val="24"/>
          <w:szCs w:val="24"/>
        </w:rPr>
        <w:t xml:space="preserve"> resultaban </w:t>
      </w:r>
      <w:r w:rsidR="000A71F1">
        <w:rPr>
          <w:rFonts w:ascii="Palatino Linotype" w:hAnsi="Palatino Linotype" w:cs="Arial"/>
          <w:sz w:val="24"/>
          <w:szCs w:val="24"/>
        </w:rPr>
        <w:t>f</w:t>
      </w:r>
      <w:r w:rsidR="001B088A">
        <w:rPr>
          <w:rFonts w:ascii="Palatino Linotype" w:hAnsi="Palatino Linotype" w:cs="Arial"/>
          <w:sz w:val="24"/>
          <w:szCs w:val="24"/>
        </w:rPr>
        <w:t>undad</w:t>
      </w:r>
      <w:r w:rsidR="00365516">
        <w:rPr>
          <w:rFonts w:ascii="Palatino Linotype" w:hAnsi="Palatino Linotype" w:cs="Arial"/>
          <w:sz w:val="24"/>
          <w:szCs w:val="24"/>
        </w:rPr>
        <w:t>a</w:t>
      </w:r>
      <w:r w:rsidR="001B088A">
        <w:rPr>
          <w:rFonts w:ascii="Palatino Linotype" w:hAnsi="Palatino Linotype" w:cs="Arial"/>
          <w:sz w:val="24"/>
          <w:szCs w:val="24"/>
        </w:rPr>
        <w:t xml:space="preserve">s </w:t>
      </w:r>
      <w:r w:rsidR="0079281E">
        <w:rPr>
          <w:rFonts w:ascii="Palatino Linotype" w:hAnsi="Palatino Linotype" w:cs="Arial"/>
          <w:sz w:val="24"/>
          <w:szCs w:val="24"/>
        </w:rPr>
        <w:t xml:space="preserve">razones </w:t>
      </w:r>
      <w:r w:rsidR="00365516">
        <w:rPr>
          <w:rFonts w:ascii="Palatino Linotype" w:hAnsi="Palatino Linotype" w:cs="Arial"/>
          <w:sz w:val="24"/>
          <w:szCs w:val="24"/>
        </w:rPr>
        <w:t xml:space="preserve">o los motivos </w:t>
      </w:r>
      <w:r w:rsidR="001B088A">
        <w:rPr>
          <w:rFonts w:ascii="Palatino Linotype" w:hAnsi="Palatino Linotype" w:cs="Arial"/>
          <w:sz w:val="24"/>
          <w:szCs w:val="24"/>
        </w:rPr>
        <w:t xml:space="preserve">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365516">
        <w:rPr>
          <w:rFonts w:ascii="Palatino Linotype" w:hAnsi="Palatino Linotype" w:cs="Arial"/>
          <w:sz w:val="24"/>
          <w:szCs w:val="24"/>
        </w:rPr>
        <w:t>la</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0A71F1">
        <w:rPr>
          <w:rFonts w:ascii="Palatino Linotype" w:hAnsi="Palatino Linotype" w:cs="Arial"/>
          <w:sz w:val="24"/>
          <w:szCs w:val="24"/>
        </w:rPr>
        <w:t>l</w:t>
      </w:r>
      <w:r w:rsidR="00AA49F3" w:rsidRPr="001B088A">
        <w:rPr>
          <w:rFonts w:ascii="Palatino Linotype" w:hAnsi="Palatino Linotype" w:cs="Arial"/>
          <w:sz w:val="24"/>
          <w:szCs w:val="24"/>
        </w:rPr>
        <w:t xml:space="preserve"> Considerando </w:t>
      </w:r>
      <w:r w:rsidR="00365516" w:rsidRPr="00365516">
        <w:rPr>
          <w:rFonts w:ascii="Palatino Linotype" w:hAnsi="Palatino Linotype" w:cs="Arial"/>
          <w:b/>
          <w:sz w:val="24"/>
          <w:szCs w:val="24"/>
        </w:rPr>
        <w:t>QUINTO</w:t>
      </w:r>
      <w:r w:rsidR="00EE5592">
        <w:rPr>
          <w:rFonts w:ascii="Palatino Linotype" w:hAnsi="Palatino Linotype" w:cs="Arial"/>
          <w:sz w:val="24"/>
          <w:szCs w:val="24"/>
        </w:rPr>
        <w:t xml:space="preserve"> </w:t>
      </w:r>
      <w:r w:rsidR="00BF3534" w:rsidRPr="001B088A">
        <w:rPr>
          <w:rFonts w:ascii="Palatino Linotype" w:hAnsi="Palatino Linotype" w:cs="Arial"/>
          <w:sz w:val="24"/>
          <w:szCs w:val="24"/>
        </w:rPr>
        <w:t>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0A71F1" w:rsidRPr="000A71F1">
        <w:rPr>
          <w:rFonts w:ascii="Palatino Linotype" w:hAnsi="Palatino Linotype" w:cs="Arial"/>
          <w:b/>
          <w:sz w:val="24"/>
          <w:szCs w:val="24"/>
        </w:rPr>
        <w:t>MODIF</w:t>
      </w:r>
      <w:r w:rsidR="001B088A" w:rsidRPr="000A71F1">
        <w:rPr>
          <w:rFonts w:ascii="Palatino Linotype" w:hAnsi="Palatino Linotype" w:cs="Arial"/>
          <w:b/>
          <w:sz w:val="24"/>
          <w:szCs w:val="24"/>
        </w:rPr>
        <w:t>I</w:t>
      </w:r>
      <w:r w:rsidR="000A71F1" w:rsidRPr="000A71F1">
        <w:rPr>
          <w:rFonts w:ascii="Palatino Linotype" w:hAnsi="Palatino Linotype" w:cs="Arial"/>
          <w:b/>
          <w:sz w:val="24"/>
          <w:szCs w:val="24"/>
        </w:rPr>
        <w:t>C</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11321E">
        <w:rPr>
          <w:rFonts w:ascii="Palatino Linotype" w:hAnsi="Palatino Linotype" w:cs="Arial"/>
          <w:b/>
          <w:sz w:val="24"/>
          <w:szCs w:val="24"/>
        </w:rPr>
        <w:t xml:space="preserve">, </w:t>
      </w:r>
      <w:r w:rsidR="0011321E">
        <w:rPr>
          <w:rFonts w:ascii="Palatino Linotype" w:hAnsi="Palatino Linotype" w:cs="Arial"/>
          <w:sz w:val="24"/>
          <w:szCs w:val="24"/>
        </w:rPr>
        <w:t>y hacer entrega</w:t>
      </w:r>
      <w:r w:rsidR="0079281E">
        <w:rPr>
          <w:rFonts w:ascii="Palatino Linotype" w:hAnsi="Palatino Linotype" w:cs="Arial"/>
          <w:sz w:val="24"/>
          <w:szCs w:val="24"/>
        </w:rPr>
        <w:t xml:space="preserve">, en versión pública, </w:t>
      </w:r>
      <w:r w:rsidR="00365516">
        <w:rPr>
          <w:rFonts w:ascii="Palatino Linotype" w:hAnsi="Palatino Linotype" w:cs="Arial"/>
          <w:sz w:val="24"/>
          <w:szCs w:val="24"/>
        </w:rPr>
        <w:t xml:space="preserve">de </w:t>
      </w:r>
      <w:r w:rsidR="0011321E">
        <w:rPr>
          <w:rFonts w:ascii="Palatino Linotype" w:hAnsi="Palatino Linotype" w:cs="Arial"/>
          <w:sz w:val="24"/>
          <w:szCs w:val="24"/>
        </w:rPr>
        <w:t>lo siguiente:</w:t>
      </w:r>
    </w:p>
    <w:p w:rsidR="0011321E" w:rsidRDefault="0011321E" w:rsidP="0011321E">
      <w:pPr>
        <w:pStyle w:val="Prrafodelista"/>
        <w:tabs>
          <w:tab w:val="left" w:pos="426"/>
        </w:tabs>
        <w:spacing w:before="240" w:after="240" w:line="240" w:lineRule="auto"/>
        <w:ind w:left="567" w:right="616"/>
        <w:jc w:val="both"/>
        <w:rPr>
          <w:rFonts w:ascii="Palatino Linotype" w:hAnsi="Palatino Linotype" w:cs="Arial"/>
          <w:i/>
          <w:sz w:val="24"/>
          <w:szCs w:val="24"/>
        </w:rPr>
      </w:pPr>
    </w:p>
    <w:p w:rsidR="0079281E" w:rsidRDefault="0011321E" w:rsidP="00365516">
      <w:pPr>
        <w:pStyle w:val="Prrafodelista"/>
        <w:spacing w:after="0" w:line="360" w:lineRule="auto"/>
        <w:ind w:left="567" w:right="616" w:hanging="11"/>
        <w:contextualSpacing w:val="0"/>
        <w:jc w:val="both"/>
        <w:rPr>
          <w:rFonts w:ascii="Palatino Linotype" w:hAnsi="Palatino Linotype" w:cs="Arial"/>
          <w:color w:val="000000" w:themeColor="text1"/>
        </w:rPr>
      </w:pPr>
      <w:r>
        <w:rPr>
          <w:rFonts w:ascii="Palatino Linotype" w:hAnsi="Palatino Linotype" w:cs="Arial"/>
          <w:i/>
          <w:sz w:val="24"/>
          <w:szCs w:val="24"/>
        </w:rPr>
        <w:t>“</w:t>
      </w:r>
      <w:r w:rsidR="00365516" w:rsidRPr="00F116D4">
        <w:rPr>
          <w:rFonts w:ascii="Palatino Linotype" w:eastAsia="Arial Unicode MS" w:hAnsi="Palatino Linotype" w:cs="Arial"/>
          <w:i/>
        </w:rPr>
        <w:t xml:space="preserve">El documento o documentos que acrediten la preparación académica de la servidora pública señalada en la solicitud de mérito, necesarios para ocupar los cargos descritos en la respuesta del </w:t>
      </w:r>
      <w:r w:rsidR="00365516" w:rsidRPr="00F116D4">
        <w:rPr>
          <w:rFonts w:ascii="Palatino Linotype" w:eastAsia="Arial Unicode MS" w:hAnsi="Palatino Linotype" w:cs="Arial"/>
          <w:b/>
          <w:i/>
        </w:rPr>
        <w:t>SUJETO OBLIGADO</w:t>
      </w:r>
      <w:r w:rsidR="00365516" w:rsidRPr="00F116D4">
        <w:rPr>
          <w:rFonts w:ascii="Palatino Linotype" w:eastAsia="Arial Unicode MS" w:hAnsi="Palatino Linotype" w:cs="Arial"/>
          <w:i/>
        </w:rPr>
        <w:t>.</w:t>
      </w:r>
      <w:r w:rsidR="00365516">
        <w:rPr>
          <w:rFonts w:ascii="Palatino Linotype" w:hAnsi="Palatino Linotype" w:cs="Arial"/>
          <w:i/>
          <w:color w:val="000000" w:themeColor="text1"/>
        </w:rPr>
        <w:t xml:space="preserve"> </w:t>
      </w:r>
      <w:r w:rsidR="0079281E">
        <w:rPr>
          <w:rFonts w:ascii="Palatino Linotype" w:hAnsi="Palatino Linotype" w:cs="Arial"/>
          <w:i/>
          <w:color w:val="000000" w:themeColor="text1"/>
        </w:rPr>
        <w:t>(…)”</w:t>
      </w:r>
    </w:p>
    <w:p w:rsidR="0011321E" w:rsidRDefault="0011321E" w:rsidP="0011321E">
      <w:pPr>
        <w:pStyle w:val="Prrafodelista"/>
        <w:tabs>
          <w:tab w:val="left" w:pos="426"/>
        </w:tabs>
        <w:spacing w:before="240" w:after="240" w:line="240" w:lineRule="auto"/>
        <w:ind w:left="567" w:right="616"/>
        <w:jc w:val="both"/>
        <w:rPr>
          <w:rFonts w:ascii="Palatino Linotype" w:hAnsi="Palatino Linotype" w:cs="Arial"/>
          <w:i/>
          <w:sz w:val="24"/>
          <w:szCs w:val="24"/>
        </w:rPr>
      </w:pPr>
    </w:p>
    <w:p w:rsidR="00EA2C08" w:rsidRPr="001B088A" w:rsidRDefault="0011321E" w:rsidP="00466F58">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3837C2" w:rsidRPr="001B088A">
        <w:rPr>
          <w:rFonts w:ascii="Palatino Linotype" w:hAnsi="Palatino Linotype" w:cs="Arial"/>
          <w:sz w:val="24"/>
          <w:szCs w:val="24"/>
        </w:rPr>
        <w:t>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en diversas ocasiones</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que no deben invocarse en el derecho de acceso a la información pública.</w:t>
      </w:r>
    </w:p>
    <w:p w:rsidR="00EA2C08" w:rsidRPr="00F3161F" w:rsidRDefault="00EA2C08" w:rsidP="00466F58">
      <w:pPr>
        <w:pStyle w:val="Prrafodelista"/>
        <w:tabs>
          <w:tab w:val="left" w:pos="426"/>
        </w:tabs>
        <w:rPr>
          <w:rFonts w:ascii="Palatino Linotype" w:hAnsi="Palatino Linotype" w:cs="Arial"/>
          <w:sz w:val="20"/>
          <w:szCs w:val="24"/>
        </w:rPr>
      </w:pPr>
    </w:p>
    <w:p w:rsidR="0046491C" w:rsidRDefault="0046491C" w:rsidP="00466F5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6E0B4D" w:rsidRDefault="0001046D" w:rsidP="00E34F08">
      <w:pPr>
        <w:pStyle w:val="Prrafodelista"/>
        <w:rPr>
          <w:rFonts w:ascii="Palatino Linotype" w:hAnsi="Palatino Linotype" w:cs="Arial"/>
          <w:sz w:val="14"/>
          <w:szCs w:val="24"/>
        </w:rPr>
      </w:pPr>
    </w:p>
    <w:p w:rsidR="0046491C" w:rsidRPr="0001046D" w:rsidRDefault="0046491C" w:rsidP="00466F58">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12635989"/>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2"/>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79281E" w:rsidP="00466F58">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del</w:t>
      </w:r>
      <w:r w:rsidR="005F4459">
        <w:rPr>
          <w:rFonts w:ascii="Palatino Linotype" w:hAnsi="Palatino Linotype" w:cs="Arial"/>
          <w:sz w:val="24"/>
          <w:szCs w:val="24"/>
        </w:rPr>
        <w:t xml:space="preserve"> </w:t>
      </w:r>
      <w:r w:rsidR="00365516">
        <w:rPr>
          <w:rFonts w:ascii="Palatino Linotype" w:hAnsi="Palatino Linotype" w:cs="Arial"/>
          <w:b/>
          <w:sz w:val="24"/>
          <w:szCs w:val="24"/>
        </w:rPr>
        <w:t>Instituto de Salud del Estado de México</w:t>
      </w:r>
      <w:r w:rsidR="00E47420">
        <w:rPr>
          <w:rFonts w:ascii="Palatino Linotype" w:hAnsi="Palatino Linotype" w:cs="Arial"/>
          <w:b/>
          <w:sz w:val="24"/>
          <w:szCs w:val="24"/>
        </w:rPr>
        <w:t>,</w:t>
      </w:r>
      <w:r w:rsidR="00466F58">
        <w:rPr>
          <w:rFonts w:ascii="Palatino Linotype" w:hAnsi="Palatino Linotype" w:cs="Arial"/>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365516" w:rsidRPr="00F116D4" w:rsidRDefault="00365516" w:rsidP="00365516">
      <w:pPr>
        <w:spacing w:before="120" w:after="120"/>
        <w:ind w:left="567" w:right="616"/>
        <w:jc w:val="both"/>
        <w:rPr>
          <w:rFonts w:ascii="Palatino Linotype" w:hAnsi="Palatino Linotype"/>
        </w:rPr>
      </w:pPr>
      <w:r w:rsidRPr="00F116D4">
        <w:rPr>
          <w:rFonts w:ascii="Palatino Linotype" w:hAnsi="Palatino Linotype" w:cs="Arial"/>
          <w:i/>
        </w:rPr>
        <w:t xml:space="preserve">“Solicito la siguiente información de la Lic Marilu Espinosa Carbajal, quien labora actualmente en el Hospital General de Ecatepec Dr José María Rodríguez, fecha de </w:t>
      </w:r>
      <w:r w:rsidRPr="00F116D4">
        <w:rPr>
          <w:rFonts w:ascii="Palatino Linotype" w:hAnsi="Palatino Linotype" w:cs="Arial"/>
          <w:i/>
        </w:rPr>
        <w:lastRenderedPageBreak/>
        <w:t xml:space="preserve">ingreso al ISEM, código de ingreso, soporte académico para el código de ingreso al ISEM ,asi como la institución q lo otorga, además si a tenido cambios de código y soporte académico para dichos cambios, código que ocupa actualmente, institución que expide su título profesional y número de cédula profesional” </w:t>
      </w:r>
      <w:r w:rsidRPr="00F116D4">
        <w:rPr>
          <w:rFonts w:ascii="Palatino Linotype" w:hAnsi="Palatino Linotype"/>
        </w:rPr>
        <w:t>(Sic).</w:t>
      </w:r>
    </w:p>
    <w:p w:rsidR="0079281E" w:rsidRPr="0079281E" w:rsidRDefault="0079281E" w:rsidP="0079281E">
      <w:pPr>
        <w:ind w:left="567" w:right="616"/>
        <w:jc w:val="both"/>
        <w:rPr>
          <w:rFonts w:ascii="Palatino Linotype" w:hAnsi="Palatino Linotype"/>
          <w:bCs/>
          <w:i/>
          <w:sz w:val="14"/>
        </w:rPr>
      </w:pPr>
    </w:p>
    <w:p w:rsidR="00550D3C" w:rsidRPr="00365516" w:rsidRDefault="00AE4797" w:rsidP="00365516">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365516">
        <w:rPr>
          <w:rFonts w:ascii="Palatino Linotype" w:hAnsi="Palatino Linotype" w:cs="Arial"/>
          <w:sz w:val="24"/>
          <w:szCs w:val="24"/>
        </w:rPr>
        <w:t>en</w:t>
      </w:r>
      <w:r w:rsidR="008D4B3A">
        <w:rPr>
          <w:rFonts w:ascii="Palatino Linotype" w:hAnsi="Palatino Linotype" w:cs="Arial"/>
          <w:sz w:val="24"/>
          <w:szCs w:val="24"/>
        </w:rPr>
        <w:t xml:space="preserve">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365516">
        <w:rPr>
          <w:rFonts w:ascii="Palatino Linotype" w:hAnsi="Palatino Linotype" w:cs="Arial"/>
          <w:sz w:val="24"/>
          <w:szCs w:val="24"/>
        </w:rPr>
        <w:t xml:space="preserve">puso a disposición del particular el </w:t>
      </w:r>
      <w:r w:rsidR="00365516" w:rsidRPr="00365516">
        <w:rPr>
          <w:rFonts w:ascii="Palatino Linotype" w:hAnsi="Palatino Linotype"/>
          <w:sz w:val="24"/>
          <w:szCs w:val="24"/>
        </w:rPr>
        <w:t>oficio número 208C0101320100L/3491/2019, signado por el Subdirector de Recursos Humanos, mediante el cual informó a la particular la fecha y código de ingreso de la persona señalada en su solicitud, grados académicos y escuelas que lo otorgan, así como los códigos ostentados de (oficial administrativo G, jefe de división y jefe de servicios)</w:t>
      </w:r>
      <w:r w:rsidR="00365516" w:rsidRPr="00365516">
        <w:rPr>
          <w:rFonts w:ascii="Palatino Linotype" w:hAnsi="Palatino Linotype" w:cs="Arial"/>
          <w:sz w:val="24"/>
          <w:szCs w:val="24"/>
        </w:rPr>
        <w:t>.</w:t>
      </w:r>
    </w:p>
    <w:p w:rsidR="00365516" w:rsidRPr="00365516" w:rsidRDefault="00365516" w:rsidP="00365516">
      <w:pPr>
        <w:pStyle w:val="Prrafodelista"/>
        <w:tabs>
          <w:tab w:val="left" w:pos="426"/>
        </w:tabs>
        <w:spacing w:after="0" w:line="360" w:lineRule="auto"/>
        <w:ind w:left="0"/>
        <w:jc w:val="both"/>
        <w:rPr>
          <w:rFonts w:ascii="Palatino Linotype" w:eastAsia="Times New Roman" w:hAnsi="Palatino Linotype" w:cs="Times New Roman"/>
          <w:i/>
          <w:sz w:val="14"/>
          <w:szCs w:val="24"/>
          <w:lang w:val="es-ES_tradnl" w:eastAsia="es-ES"/>
        </w:rPr>
      </w:pPr>
    </w:p>
    <w:p w:rsidR="00E47420" w:rsidRPr="00550D3C" w:rsidRDefault="00E47420" w:rsidP="00E47420">
      <w:pPr>
        <w:pStyle w:val="Prrafodelista"/>
        <w:rPr>
          <w:rFonts w:ascii="Palatino Linotype" w:hAnsi="Palatino Linotype"/>
          <w:sz w:val="8"/>
          <w:lang w:eastAsia="es-MX"/>
        </w:rPr>
      </w:pPr>
    </w:p>
    <w:p w:rsidR="009340EF" w:rsidRDefault="00365516" w:rsidP="00F7345F">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Inconforme con la respuesta,</w:t>
      </w:r>
      <w:r w:rsidR="0046491C" w:rsidRPr="00F7345F">
        <w:rPr>
          <w:rFonts w:ascii="Palatino Linotype" w:hAnsi="Palatino Linotype" w:cs="Arial"/>
          <w:b/>
          <w:sz w:val="24"/>
          <w:szCs w:val="24"/>
        </w:rPr>
        <w:t xml:space="preserve"> </w:t>
      </w:r>
      <w:r w:rsidR="001F692B" w:rsidRPr="00F7345F">
        <w:rPr>
          <w:rFonts w:ascii="Palatino Linotype" w:hAnsi="Palatino Linotype" w:cs="Arial"/>
          <w:sz w:val="24"/>
          <w:szCs w:val="24"/>
        </w:rPr>
        <w:t>el</w:t>
      </w:r>
      <w:r w:rsidR="00AE4797" w:rsidRPr="00F7345F">
        <w:rPr>
          <w:rFonts w:ascii="Palatino Linotype" w:hAnsi="Palatino Linotype" w:cs="Arial"/>
          <w:sz w:val="24"/>
          <w:szCs w:val="24"/>
        </w:rPr>
        <w:t xml:space="preserve"> </w:t>
      </w:r>
      <w:r w:rsidR="00E30CD7" w:rsidRPr="00F7345F">
        <w:rPr>
          <w:rFonts w:ascii="Palatino Linotype" w:hAnsi="Palatino Linotype" w:cs="Arial"/>
          <w:b/>
          <w:sz w:val="24"/>
          <w:szCs w:val="24"/>
        </w:rPr>
        <w:t>RECURRENTE</w:t>
      </w:r>
      <w:r w:rsidR="005F3760" w:rsidRPr="00F7345F">
        <w:rPr>
          <w:rFonts w:ascii="Palatino Linotype" w:hAnsi="Palatino Linotype" w:cs="Arial"/>
          <w:sz w:val="24"/>
          <w:szCs w:val="24"/>
        </w:rPr>
        <w:t xml:space="preserve"> </w:t>
      </w:r>
      <w:r>
        <w:rPr>
          <w:rFonts w:ascii="Palatino Linotype" w:hAnsi="Palatino Linotype" w:cs="Arial"/>
          <w:sz w:val="24"/>
          <w:szCs w:val="24"/>
        </w:rPr>
        <w:t xml:space="preserve">interpuso el recurso de revisión citado al rubro, en el cual se apreció que ya no </w:t>
      </w:r>
      <w:r w:rsidR="005F3760" w:rsidRPr="00F7345F">
        <w:rPr>
          <w:rFonts w:ascii="Palatino Linotype" w:hAnsi="Palatino Linotype" w:cs="Arial"/>
          <w:sz w:val="24"/>
          <w:szCs w:val="24"/>
        </w:rPr>
        <w:t xml:space="preserve">se </w:t>
      </w:r>
      <w:r w:rsidR="00D157E6" w:rsidRPr="00F7345F">
        <w:rPr>
          <w:rFonts w:ascii="Palatino Linotype" w:hAnsi="Palatino Linotype" w:cs="Arial"/>
          <w:sz w:val="24"/>
          <w:szCs w:val="24"/>
        </w:rPr>
        <w:t>adolece</w:t>
      </w:r>
      <w:r w:rsidR="005F3760" w:rsidRPr="00F7345F">
        <w:rPr>
          <w:rFonts w:ascii="Palatino Linotype" w:hAnsi="Palatino Linotype" w:cs="Arial"/>
          <w:sz w:val="24"/>
          <w:szCs w:val="24"/>
        </w:rPr>
        <w:t xml:space="preserve"> por </w:t>
      </w:r>
      <w:r w:rsidR="00CD59CB">
        <w:rPr>
          <w:rFonts w:ascii="Palatino Linotype" w:hAnsi="Palatino Linotype" w:cs="Arial"/>
          <w:sz w:val="24"/>
          <w:szCs w:val="24"/>
        </w:rPr>
        <w:t xml:space="preserve">la totalidad de los requerimientos, </w:t>
      </w:r>
      <w:r>
        <w:rPr>
          <w:rFonts w:ascii="Palatino Linotype" w:hAnsi="Palatino Linotype" w:cs="Arial"/>
          <w:sz w:val="24"/>
          <w:szCs w:val="24"/>
        </w:rPr>
        <w:t xml:space="preserve">sino únicamente </w:t>
      </w:r>
      <w:r w:rsidR="009340EF">
        <w:rPr>
          <w:rFonts w:ascii="Palatino Linotype" w:hAnsi="Palatino Linotype" w:cs="Arial"/>
          <w:sz w:val="24"/>
          <w:szCs w:val="24"/>
        </w:rPr>
        <w:t>de la falta del soporte académico para el código de ingreso de la servidora pública señalada en la solicitud de información.</w:t>
      </w:r>
    </w:p>
    <w:p w:rsidR="009340EF" w:rsidRDefault="009340EF" w:rsidP="009340EF">
      <w:pPr>
        <w:pStyle w:val="Prrafodelista"/>
        <w:tabs>
          <w:tab w:val="left" w:pos="426"/>
        </w:tabs>
        <w:spacing w:before="240" w:after="240" w:line="360" w:lineRule="auto"/>
        <w:ind w:left="0"/>
        <w:jc w:val="both"/>
        <w:rPr>
          <w:rFonts w:ascii="Palatino Linotype" w:hAnsi="Palatino Linotype" w:cs="Arial"/>
          <w:sz w:val="24"/>
          <w:szCs w:val="24"/>
        </w:rPr>
      </w:pPr>
    </w:p>
    <w:p w:rsidR="00444048" w:rsidRPr="00F7345F" w:rsidRDefault="00365516" w:rsidP="00F7345F">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w:t>
      </w:r>
      <w:r w:rsidR="009340EF">
        <w:rPr>
          <w:rFonts w:ascii="Palatino Linotype" w:hAnsi="Palatino Linotype" w:cs="Arial"/>
          <w:sz w:val="24"/>
          <w:szCs w:val="24"/>
        </w:rPr>
        <w:t xml:space="preserve">Al respecto, es de mencionar que el </w:t>
      </w:r>
      <w:r w:rsidR="009340EF" w:rsidRPr="009340EF">
        <w:rPr>
          <w:rFonts w:ascii="Palatino Linotype" w:hAnsi="Palatino Linotype" w:cs="Arial"/>
          <w:b/>
          <w:sz w:val="24"/>
          <w:szCs w:val="24"/>
        </w:rPr>
        <w:t>SUJETO OBLIGADO</w:t>
      </w:r>
      <w:r w:rsidR="009340EF">
        <w:rPr>
          <w:rFonts w:ascii="Palatino Linotype" w:hAnsi="Palatino Linotype" w:cs="Arial"/>
          <w:sz w:val="24"/>
          <w:szCs w:val="24"/>
        </w:rPr>
        <w:t xml:space="preserve"> fue omiso en rendir manifestación alguna que a su derecho conviniera o asistiera.</w:t>
      </w:r>
    </w:p>
    <w:p w:rsidR="00D157E6" w:rsidRPr="00D157E6" w:rsidRDefault="00D157E6" w:rsidP="00D157E6">
      <w:pPr>
        <w:pStyle w:val="Prrafodelista"/>
        <w:tabs>
          <w:tab w:val="left" w:pos="426"/>
        </w:tabs>
        <w:spacing w:before="240" w:after="240" w:line="360" w:lineRule="auto"/>
        <w:ind w:left="360"/>
        <w:jc w:val="both"/>
        <w:rPr>
          <w:rFonts w:ascii="Palatino Linotype" w:hAnsi="Palatino Linotype" w:cs="Arial"/>
          <w:sz w:val="20"/>
          <w:szCs w:val="24"/>
        </w:rPr>
      </w:pPr>
    </w:p>
    <w:p w:rsidR="0046491C" w:rsidRDefault="005C79C8" w:rsidP="00D157E6">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w:t>
      </w:r>
      <w:r w:rsidR="00574C52">
        <w:rPr>
          <w:rFonts w:ascii="Palatino Linotype" w:hAnsi="Palatino Linotype" w:cs="Arial"/>
          <w:sz w:val="24"/>
          <w:szCs w:val="24"/>
        </w:rPr>
        <w:t xml:space="preserve">si bien </w:t>
      </w:r>
      <w:r w:rsidR="005F3760">
        <w:rPr>
          <w:rFonts w:ascii="Palatino Linotype" w:hAnsi="Palatino Linotype" w:cs="Arial"/>
          <w:sz w:val="24"/>
          <w:szCs w:val="24"/>
        </w:rPr>
        <w:t xml:space="preserve">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574C52">
        <w:rPr>
          <w:rFonts w:ascii="Palatino Linotype" w:hAnsi="Palatino Linotype" w:cs="Arial"/>
          <w:sz w:val="24"/>
          <w:szCs w:val="24"/>
        </w:rPr>
        <w:t xml:space="preserve">proporcionó información </w:t>
      </w:r>
      <w:r w:rsidR="003151C7">
        <w:rPr>
          <w:rFonts w:ascii="Palatino Linotype" w:hAnsi="Palatino Linotype" w:cs="Arial"/>
          <w:sz w:val="24"/>
          <w:szCs w:val="24"/>
        </w:rPr>
        <w:t>en atención a la solicitud de información</w:t>
      </w:r>
      <w:r w:rsidR="00FA5C6A">
        <w:rPr>
          <w:rFonts w:ascii="Palatino Linotype" w:hAnsi="Palatino Linotype" w:cs="Arial"/>
          <w:sz w:val="24"/>
          <w:szCs w:val="24"/>
        </w:rPr>
        <w:t>,</w:t>
      </w:r>
      <w:r w:rsidR="008F4F39">
        <w:rPr>
          <w:rFonts w:ascii="Palatino Linotype" w:hAnsi="Palatino Linotype" w:cs="Arial"/>
          <w:sz w:val="24"/>
          <w:szCs w:val="24"/>
        </w:rPr>
        <w:t xml:space="preserve"> la Ponencia Resolutora debió analizar </w:t>
      </w:r>
      <w:r w:rsidR="00FA5C6A">
        <w:rPr>
          <w:rFonts w:ascii="Palatino Linotype" w:hAnsi="Palatino Linotype" w:cs="Arial"/>
          <w:sz w:val="24"/>
          <w:szCs w:val="24"/>
        </w:rPr>
        <w:t>si lo proporcionado colma</w:t>
      </w:r>
      <w:r w:rsidR="00574C52">
        <w:rPr>
          <w:rFonts w:ascii="Palatino Linotype" w:hAnsi="Palatino Linotype" w:cs="Arial"/>
          <w:sz w:val="24"/>
          <w:szCs w:val="24"/>
        </w:rPr>
        <w:t>ba</w:t>
      </w:r>
      <w:r w:rsidR="00FA5C6A">
        <w:rPr>
          <w:rFonts w:ascii="Palatino Linotype" w:hAnsi="Palatino Linotype" w:cs="Arial"/>
          <w:sz w:val="24"/>
          <w:szCs w:val="24"/>
        </w:rPr>
        <w:t xml:space="preserve"> en su totalidad el derecho de acceso a la información de</w:t>
      </w:r>
      <w:r w:rsidR="00574C52">
        <w:rPr>
          <w:rFonts w:ascii="Palatino Linotype" w:hAnsi="Palatino Linotype" w:cs="Arial"/>
          <w:sz w:val="24"/>
          <w:szCs w:val="24"/>
        </w:rPr>
        <w:t xml:space="preserve"> </w:t>
      </w:r>
      <w:r w:rsidR="00FA5C6A">
        <w:rPr>
          <w:rFonts w:ascii="Palatino Linotype" w:hAnsi="Palatino Linotype" w:cs="Arial"/>
          <w:sz w:val="24"/>
          <w:szCs w:val="24"/>
        </w:rPr>
        <w:t>l</w:t>
      </w:r>
      <w:r w:rsidR="00574C52">
        <w:rPr>
          <w:rFonts w:ascii="Palatino Linotype" w:hAnsi="Palatino Linotype" w:cs="Arial"/>
          <w:sz w:val="24"/>
          <w:szCs w:val="24"/>
        </w:rPr>
        <w:t>a</w:t>
      </w:r>
      <w:r w:rsidR="00FA5C6A">
        <w:rPr>
          <w:rFonts w:ascii="Palatino Linotype" w:hAnsi="Palatino Linotype" w:cs="Arial"/>
          <w:sz w:val="24"/>
          <w:szCs w:val="24"/>
        </w:rPr>
        <w:t xml:space="preserve"> particular</w:t>
      </w:r>
      <w:r w:rsidR="00BC7968">
        <w:rPr>
          <w:rFonts w:ascii="Palatino Linotype" w:hAnsi="Palatino Linotype" w:cs="Arial"/>
          <w:sz w:val="24"/>
          <w:szCs w:val="24"/>
        </w:rPr>
        <w:t>;</w:t>
      </w:r>
      <w:r w:rsidR="00AE4797">
        <w:rPr>
          <w:rFonts w:ascii="Palatino Linotype" w:hAnsi="Palatino Linotype" w:cs="Arial"/>
          <w:sz w:val="24"/>
          <w:szCs w:val="24"/>
        </w:rPr>
        <w:t xml:space="preserve"> </w:t>
      </w:r>
      <w:r w:rsidR="008F4F39">
        <w:rPr>
          <w:rFonts w:ascii="Palatino Linotype" w:hAnsi="Palatino Linotype" w:cs="Arial"/>
          <w:sz w:val="24"/>
          <w:szCs w:val="24"/>
        </w:rPr>
        <w:t>sin embargo</w:t>
      </w:r>
      <w:r w:rsidR="00AE4797">
        <w:rPr>
          <w:rFonts w:ascii="Palatino Linotype" w:hAnsi="Palatino Linotype" w:cs="Arial"/>
          <w:sz w:val="24"/>
          <w:szCs w:val="24"/>
        </w:rPr>
        <w:t xml:space="preserve">, </w:t>
      </w:r>
      <w:r w:rsidR="0046491C" w:rsidRPr="0001046D">
        <w:rPr>
          <w:rFonts w:ascii="Palatino Linotype" w:hAnsi="Palatino Linotype" w:cs="Arial"/>
          <w:sz w:val="24"/>
          <w:szCs w:val="24"/>
        </w:rPr>
        <w:t xml:space="preserve">en el estudio y desarrollo de dicha resolución fueron </w:t>
      </w:r>
      <w:r w:rsidR="0046491C" w:rsidRPr="0001046D">
        <w:rPr>
          <w:rFonts w:ascii="Palatino Linotype" w:hAnsi="Palatino Linotype" w:cs="Arial"/>
          <w:sz w:val="24"/>
          <w:szCs w:val="24"/>
        </w:rPr>
        <w:lastRenderedPageBreak/>
        <w:t>invocados los llamados actos consentidos, tal y como se observa en las siguientes líneas de la resolución en comento:</w:t>
      </w:r>
    </w:p>
    <w:p w:rsidR="003151C7" w:rsidRPr="003151C7" w:rsidRDefault="008F4F39" w:rsidP="003151C7">
      <w:pPr>
        <w:widowControl w:val="0"/>
        <w:autoSpaceDE w:val="0"/>
        <w:autoSpaceDN w:val="0"/>
        <w:adjustRightInd w:val="0"/>
        <w:spacing w:before="200" w:after="200" w:line="276" w:lineRule="auto"/>
        <w:ind w:left="567" w:right="616"/>
        <w:jc w:val="both"/>
        <w:rPr>
          <w:rFonts w:ascii="Palatino Linotype" w:hAnsi="Palatino Linotype"/>
          <w:i/>
        </w:rPr>
      </w:pPr>
      <w:r w:rsidRPr="003151C7">
        <w:rPr>
          <w:rFonts w:ascii="Palatino Linotype" w:hAnsi="Palatino Linotype" w:cs="Arial"/>
          <w:i/>
        </w:rPr>
        <w:t>“</w:t>
      </w:r>
      <w:r w:rsidR="003151C7" w:rsidRPr="003151C7">
        <w:rPr>
          <w:rFonts w:ascii="Palatino Linotype" w:hAnsi="Palatino Linotype"/>
          <w:i/>
        </w:rPr>
        <w:t xml:space="preserve">Bajo esta tesitura, éste Órgano Colegiado considera que ante la falta de impugnación en específico de la información identificada en este estudio con los numerales del 1 al 5; así como del 7 y 8, consistentes en la fecha de ingreso al Instituto de Seguridad del Estado de México (ISEM), código de ingreso, soporte a académico para el código de ingreso, institución que otorga el código de ingreso, cambios de código que ha tenido, código que ocupa actualmente, y por último la Institución que expide su título profesional y número de cédula profesional; y, respecto de la información entregada en respuesta por el </w:t>
      </w:r>
      <w:r w:rsidR="003151C7" w:rsidRPr="003151C7">
        <w:rPr>
          <w:rFonts w:ascii="Palatino Linotype" w:hAnsi="Palatino Linotype"/>
          <w:b/>
          <w:i/>
        </w:rPr>
        <w:t>SUJETO OBLIGADO</w:t>
      </w:r>
      <w:r w:rsidR="003151C7" w:rsidRPr="003151C7">
        <w:rPr>
          <w:rFonts w:ascii="Palatino Linotype" w:hAnsi="Palatino Linotype"/>
          <w:i/>
        </w:rPr>
        <w:t xml:space="preserve">, debe entenderse por consentida, toda vez que, no se realizaron manifestaciones de inconformidad; esto es, que la información vertida por </w:t>
      </w:r>
      <w:r w:rsidR="003151C7" w:rsidRPr="003151C7">
        <w:rPr>
          <w:rFonts w:ascii="Palatino Linotype" w:hAnsi="Palatino Linotype"/>
          <w:b/>
          <w:i/>
        </w:rPr>
        <w:t>EL SUJETO OBLIGADO</w:t>
      </w:r>
      <w:r w:rsidR="003151C7" w:rsidRPr="003151C7">
        <w:rPr>
          <w:rFonts w:ascii="Palatino Linotype" w:hAnsi="Palatino Linotype"/>
          <w:i/>
        </w:rPr>
        <w:t xml:space="preserve"> en su respuesta no puede producir efectos jurídicos tendientes a revocar, confirmar o modificar el acto reclamado, ya que no realizo manifestación alguna en contra de la información proporcionada. </w:t>
      </w:r>
    </w:p>
    <w:p w:rsidR="003151C7" w:rsidRPr="003151C7" w:rsidRDefault="003151C7" w:rsidP="003151C7">
      <w:pPr>
        <w:spacing w:line="276" w:lineRule="auto"/>
        <w:ind w:left="567" w:right="616"/>
        <w:jc w:val="both"/>
        <w:rPr>
          <w:rFonts w:ascii="Palatino Linotype" w:hAnsi="Palatino Linotype"/>
          <w:i/>
        </w:rPr>
      </w:pPr>
      <w:r w:rsidRPr="003151C7">
        <w:rPr>
          <w:rFonts w:ascii="Palatino Linotype" w:hAnsi="Palatino Linotype"/>
          <w:i/>
        </w:rPr>
        <w:t>Sirve de sustento, la tesis jurisprudencial número VI.3o.C. J/60, publicada en el Semanario Judicial de la Federación y su Gaceta bajo el número de registro 176,608 que a la letra dice:</w:t>
      </w:r>
    </w:p>
    <w:p w:rsidR="003151C7" w:rsidRPr="003151C7" w:rsidRDefault="003151C7" w:rsidP="003151C7">
      <w:pPr>
        <w:spacing w:line="276" w:lineRule="auto"/>
        <w:ind w:left="851" w:right="900"/>
        <w:jc w:val="both"/>
        <w:rPr>
          <w:rFonts w:ascii="Palatino Linotype" w:hAnsi="Palatino Linotype"/>
          <w:i/>
          <w:sz w:val="20"/>
        </w:rPr>
      </w:pPr>
      <w:r w:rsidRPr="003151C7">
        <w:rPr>
          <w:rFonts w:ascii="Palatino Linotype" w:hAnsi="Palatino Linotype"/>
          <w:b/>
          <w:bCs/>
          <w:i/>
          <w:sz w:val="20"/>
        </w:rPr>
        <w:t xml:space="preserve">“ACTOS CONSENTIDOS. SON LOS QUE NO SE IMPUGNAN MEDIANTE EL RECURSO IDÓNEO. </w:t>
      </w:r>
      <w:r w:rsidRPr="003151C7">
        <w:rPr>
          <w:rFonts w:ascii="Palatino Linotype" w:hAnsi="Palatino Linotype"/>
          <w:i/>
          <w:sz w:val="2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151C7" w:rsidRPr="003151C7" w:rsidRDefault="003151C7" w:rsidP="003151C7">
      <w:pPr>
        <w:spacing w:line="276" w:lineRule="auto"/>
        <w:ind w:left="567" w:right="616"/>
        <w:jc w:val="both"/>
        <w:rPr>
          <w:rFonts w:ascii="Palatino Linotype" w:hAnsi="Palatino Linotype"/>
          <w:i/>
          <w:sz w:val="2"/>
        </w:rPr>
      </w:pPr>
    </w:p>
    <w:p w:rsidR="003151C7" w:rsidRPr="003151C7" w:rsidRDefault="003151C7" w:rsidP="003151C7">
      <w:pPr>
        <w:spacing w:line="276" w:lineRule="auto"/>
        <w:ind w:left="567" w:right="616"/>
        <w:jc w:val="both"/>
        <w:rPr>
          <w:rFonts w:ascii="Palatino Linotype" w:hAnsi="Palatino Linotype"/>
          <w:i/>
        </w:rPr>
      </w:pPr>
      <w:r w:rsidRPr="003151C7">
        <w:rPr>
          <w:rFonts w:ascii="Palatino Linotype" w:hAnsi="Palatino Linotype"/>
          <w:i/>
        </w:rPr>
        <w:t xml:space="preserve">Lo anterior es así, debido a que cuando </w:t>
      </w:r>
      <w:r w:rsidRPr="003151C7">
        <w:rPr>
          <w:rFonts w:ascii="Palatino Linotype" w:hAnsi="Palatino Linotype"/>
          <w:b/>
          <w:i/>
        </w:rPr>
        <w:t xml:space="preserve">LA RECURRENTE </w:t>
      </w:r>
      <w:r w:rsidRPr="003151C7">
        <w:rPr>
          <w:rFonts w:ascii="Palatino Linotype" w:hAnsi="Palatino Linotype"/>
          <w:i/>
        </w:rPr>
        <w:t xml:space="preserve">impugnó la respuesta del </w:t>
      </w:r>
      <w:r w:rsidRPr="003151C7">
        <w:rPr>
          <w:rFonts w:ascii="Palatino Linotype" w:hAnsi="Palatino Linotype"/>
          <w:b/>
          <w:i/>
        </w:rPr>
        <w:t>SUJETO OBLIGADO</w:t>
      </w:r>
      <w:r w:rsidRPr="003151C7">
        <w:rPr>
          <w:rFonts w:ascii="Palatino Linotype" w:hAnsi="Palatino Linotype"/>
          <w:i/>
        </w:rPr>
        <w:t xml:space="preserve">, y no expresó razón o motivo de inconformidad en contra de todos los rubros solicitados, dichos rubros deben declararse atendidos, pues se entiende que </w:t>
      </w:r>
      <w:r w:rsidRPr="003151C7">
        <w:rPr>
          <w:rFonts w:ascii="Palatino Linotype" w:hAnsi="Palatino Linotype"/>
          <w:b/>
          <w:i/>
        </w:rPr>
        <w:t>LA RECURRENTE</w:t>
      </w:r>
      <w:r w:rsidRPr="003151C7">
        <w:rPr>
          <w:rFonts w:ascii="Palatino Linotype" w:hAnsi="Palatino Linotype"/>
          <w:i/>
        </w:rPr>
        <w:t xml:space="preserve"> está conforme con la información entregada al no contravenir la misma. </w:t>
      </w:r>
    </w:p>
    <w:p w:rsidR="003151C7" w:rsidRPr="003151C7" w:rsidRDefault="003151C7" w:rsidP="003151C7">
      <w:pPr>
        <w:spacing w:line="276" w:lineRule="auto"/>
        <w:ind w:left="567" w:right="616"/>
        <w:jc w:val="both"/>
        <w:rPr>
          <w:rFonts w:ascii="Palatino Linotype" w:hAnsi="Palatino Linotype"/>
          <w:i/>
        </w:rPr>
      </w:pPr>
      <w:r w:rsidRPr="003151C7">
        <w:rPr>
          <w:rFonts w:ascii="Palatino Linotype" w:hAnsi="Palatino Linotype"/>
          <w:i/>
        </w:rPr>
        <w:lastRenderedPageBreak/>
        <w:t>Asimismo, la Tesis Jurisprudencial Número 3ª./J.7/91, Publicada en el Semanario Judicial de la Federación y su Gaceta bajo el número de registro 174,177, que establece lo siguiente:</w:t>
      </w:r>
    </w:p>
    <w:p w:rsidR="003151C7" w:rsidRPr="003151C7" w:rsidRDefault="003151C7" w:rsidP="003151C7">
      <w:pPr>
        <w:spacing w:line="276" w:lineRule="auto"/>
        <w:ind w:left="567" w:right="616"/>
        <w:jc w:val="both"/>
        <w:rPr>
          <w:rFonts w:ascii="Palatino Linotype" w:hAnsi="Palatino Linotype"/>
          <w:i/>
          <w:sz w:val="2"/>
        </w:rPr>
      </w:pPr>
    </w:p>
    <w:p w:rsidR="00AA69A7" w:rsidRPr="003151C7" w:rsidRDefault="003151C7" w:rsidP="003151C7">
      <w:pPr>
        <w:spacing w:line="276" w:lineRule="auto"/>
        <w:ind w:left="851" w:right="900"/>
        <w:jc w:val="both"/>
        <w:rPr>
          <w:rFonts w:ascii="Palatino Linotype" w:hAnsi="Palatino Linotype"/>
          <w:bCs/>
          <w:i/>
          <w:iCs/>
          <w:sz w:val="20"/>
        </w:rPr>
      </w:pPr>
      <w:r w:rsidRPr="003151C7">
        <w:rPr>
          <w:rFonts w:ascii="Palatino Linotype" w:hAnsi="Palatino Linotype"/>
          <w:b/>
          <w:i/>
          <w:sz w:val="20"/>
        </w:rPr>
        <w:t xml:space="preserve">“REVISIÓN EN AMPARO. LOS RESOLUTIVOS NO COMBATIDOS DEBEN DECLARARSE FIRMES. </w:t>
      </w:r>
      <w:r w:rsidRPr="003151C7">
        <w:rPr>
          <w:rFonts w:ascii="Palatino Linotype" w:hAnsi="Palatino Linotype"/>
          <w:bCs/>
          <w:i/>
          <w:iCs/>
          <w:sz w:val="20"/>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151C7">
        <w:rPr>
          <w:rFonts w:ascii="Palatino Linotype" w:hAnsi="Palatino Linotype"/>
          <w:i/>
          <w:sz w:val="20"/>
        </w:rPr>
        <w:t>todos</w:t>
      </w:r>
      <w:r w:rsidRPr="003151C7">
        <w:rPr>
          <w:rFonts w:ascii="Palatino Linotype" w:hAnsi="Palatino Linotype"/>
          <w:bCs/>
          <w:i/>
          <w:iCs/>
          <w:sz w:val="20"/>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A69A7" w:rsidRPr="003151C7" w:rsidRDefault="00AA69A7" w:rsidP="003151C7">
      <w:pPr>
        <w:pStyle w:val="Sinespaciado"/>
        <w:spacing w:line="276" w:lineRule="auto"/>
        <w:ind w:left="567" w:right="616"/>
        <w:jc w:val="both"/>
        <w:rPr>
          <w:rFonts w:ascii="Palatino Linotype" w:hAnsi="Palatino Linotype"/>
          <w:i/>
          <w:sz w:val="10"/>
        </w:rPr>
      </w:pPr>
    </w:p>
    <w:p w:rsidR="008F4F39" w:rsidRPr="003151C7" w:rsidRDefault="008F4F39" w:rsidP="003151C7">
      <w:pPr>
        <w:pStyle w:val="Sinespaciado"/>
        <w:spacing w:line="276" w:lineRule="auto"/>
        <w:ind w:left="567" w:right="616"/>
        <w:jc w:val="both"/>
        <w:rPr>
          <w:rFonts w:ascii="Palatino Linotype" w:hAnsi="Palatino Linotype"/>
          <w:i/>
        </w:rPr>
      </w:pPr>
      <w:r w:rsidRPr="003151C7">
        <w:rPr>
          <w:rFonts w:ascii="Palatino Linotype" w:hAnsi="Palatino Linotype"/>
          <w:i/>
        </w:rPr>
        <w:t>(…)</w:t>
      </w:r>
      <w:r w:rsidR="00AA69A7" w:rsidRPr="003151C7">
        <w:rPr>
          <w:rFonts w:ascii="Palatino Linotype" w:hAnsi="Palatino Linotype"/>
          <w:i/>
        </w:rPr>
        <w:t>”</w:t>
      </w:r>
    </w:p>
    <w:p w:rsidR="00F618FA" w:rsidRPr="004D1E11" w:rsidRDefault="00F618FA" w:rsidP="00C364AB">
      <w:pPr>
        <w:pStyle w:val="Sinespaciado"/>
        <w:ind w:left="709"/>
        <w:jc w:val="both"/>
        <w:rPr>
          <w:rFonts w:ascii="Palatino Linotype" w:hAnsi="Palatino Linotype"/>
          <w:sz w:val="4"/>
        </w:rPr>
      </w:pPr>
    </w:p>
    <w:p w:rsidR="005C79C8" w:rsidRPr="005C79C8" w:rsidRDefault="0046491C" w:rsidP="004D22F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F3161F" w:rsidRDefault="005C79C8" w:rsidP="005C79C8">
      <w:pPr>
        <w:pStyle w:val="Prrafodelista"/>
        <w:spacing w:before="240" w:after="240" w:line="360" w:lineRule="auto"/>
        <w:ind w:left="0" w:right="49"/>
        <w:jc w:val="both"/>
        <w:rPr>
          <w:rFonts w:ascii="Palatino Linotype" w:hAnsi="Palatino Linotype" w:cs="Arial"/>
          <w:sz w:val="20"/>
          <w:szCs w:val="24"/>
        </w:rPr>
      </w:pPr>
    </w:p>
    <w:p w:rsidR="00651380" w:rsidRPr="00F618FA" w:rsidRDefault="0046491C" w:rsidP="004D22F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 xml:space="preserve">de la respuesta proporcionada por </w:t>
      </w:r>
      <w:r w:rsidR="00E30CD7" w:rsidRPr="00806300">
        <w:rPr>
          <w:rFonts w:ascii="Palatino Linotype" w:eastAsia="Calibri" w:hAnsi="Palatino Linotype" w:cs="Times New Roman"/>
          <w:sz w:val="24"/>
          <w:szCs w:val="24"/>
          <w:lang w:val="es-ES" w:eastAsia="es-ES"/>
        </w:rPr>
        <w:t>el</w:t>
      </w:r>
      <w:r w:rsidRPr="00806300">
        <w:rPr>
          <w:rFonts w:ascii="Palatino Linotype" w:eastAsia="Calibri" w:hAnsi="Palatino Linotype" w:cs="Times New Roman"/>
          <w:sz w:val="24"/>
          <w:szCs w:val="24"/>
          <w:lang w:val="es-ES" w:eastAsia="es-ES"/>
        </w:rPr>
        <w:t xml:space="preserve"> </w:t>
      </w:r>
      <w:r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 xml:space="preserve">en </w:t>
      </w:r>
      <w:r w:rsidR="006107EB">
        <w:rPr>
          <w:rFonts w:ascii="Palatino Linotype" w:eastAsia="Calibri" w:hAnsi="Palatino Linotype" w:cs="Times New Roman"/>
          <w:sz w:val="24"/>
          <w:szCs w:val="24"/>
          <w:lang w:val="es-ES" w:eastAsia="es-ES"/>
        </w:rPr>
        <w:t>los</w:t>
      </w:r>
      <w:r w:rsidR="00A57BE6" w:rsidRPr="00806300">
        <w:rPr>
          <w:rFonts w:ascii="Palatino Linotype" w:eastAsia="Calibri" w:hAnsi="Palatino Linotype" w:cs="Times New Roman"/>
          <w:sz w:val="24"/>
          <w:szCs w:val="24"/>
          <w:lang w:val="es-ES" w:eastAsia="es-ES"/>
        </w:rPr>
        <w:t xml:space="preserve"> requerimiento</w:t>
      </w:r>
      <w:r w:rsidR="006107EB">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de</w:t>
      </w:r>
      <w:r w:rsidR="006107EB">
        <w:rPr>
          <w:rFonts w:ascii="Palatino Linotype" w:eastAsia="Calibri" w:hAnsi="Palatino Linotype" w:cs="Times New Roman"/>
          <w:sz w:val="24"/>
          <w:szCs w:val="24"/>
          <w:lang w:val="es-ES" w:eastAsia="es-ES"/>
        </w:rPr>
        <w:t xml:space="preserve"> </w:t>
      </w:r>
      <w:r w:rsidR="00A57BE6" w:rsidRPr="00806300">
        <w:rPr>
          <w:rFonts w:ascii="Palatino Linotype" w:eastAsia="Calibri" w:hAnsi="Palatino Linotype" w:cs="Times New Roman"/>
          <w:sz w:val="24"/>
          <w:szCs w:val="24"/>
          <w:lang w:val="es-ES" w:eastAsia="es-ES"/>
        </w:rPr>
        <w:t>l</w:t>
      </w:r>
      <w:r w:rsidR="006107EB">
        <w:rPr>
          <w:rFonts w:ascii="Palatino Linotype" w:eastAsia="Calibri" w:hAnsi="Palatino Linotype" w:cs="Times New Roman"/>
          <w:sz w:val="24"/>
          <w:szCs w:val="24"/>
          <w:lang w:val="es-ES" w:eastAsia="es-ES"/>
        </w:rPr>
        <w:t>os</w:t>
      </w:r>
      <w:r w:rsidR="00A57BE6" w:rsidRPr="00806300">
        <w:rPr>
          <w:rFonts w:ascii="Palatino Linotype" w:eastAsia="Calibri" w:hAnsi="Palatino Linotype" w:cs="Times New Roman"/>
          <w:sz w:val="24"/>
          <w:szCs w:val="24"/>
          <w:lang w:val="es-ES" w:eastAsia="es-ES"/>
        </w:rPr>
        <w:t xml:space="preserve"> cual</w:t>
      </w:r>
      <w:r w:rsidR="006107EB">
        <w:rPr>
          <w:rFonts w:ascii="Palatino Linotype" w:eastAsia="Calibri" w:hAnsi="Palatino Linotype" w:cs="Times New Roman"/>
          <w:sz w:val="24"/>
          <w:szCs w:val="24"/>
          <w:lang w:val="es-ES" w:eastAsia="es-ES"/>
        </w:rPr>
        <w:t>es</w:t>
      </w:r>
      <w:r w:rsidR="00A57BE6" w:rsidRPr="00806300">
        <w:rPr>
          <w:rFonts w:ascii="Palatino Linotype" w:eastAsia="Calibri" w:hAnsi="Palatino Linotype" w:cs="Times New Roman"/>
          <w:sz w:val="24"/>
          <w:szCs w:val="24"/>
          <w:lang w:val="es-ES" w:eastAsia="es-ES"/>
        </w:rPr>
        <w:t xml:space="preserve"> </w:t>
      </w:r>
      <w:r w:rsidR="00D41A74">
        <w:rPr>
          <w:rFonts w:ascii="Palatino Linotype" w:eastAsia="Calibri" w:hAnsi="Palatino Linotype" w:cs="Times New Roman"/>
          <w:sz w:val="24"/>
          <w:szCs w:val="24"/>
          <w:lang w:val="es-ES" w:eastAsia="es-ES"/>
        </w:rPr>
        <w:t>la</w:t>
      </w:r>
      <w:r w:rsidR="00A57BE6" w:rsidRPr="00806300">
        <w:rPr>
          <w:rFonts w:ascii="Palatino Linotype" w:eastAsia="Calibri" w:hAnsi="Palatino Linotype" w:cs="Times New Roman"/>
          <w:sz w:val="24"/>
          <w:szCs w:val="24"/>
          <w:lang w:val="es-ES" w:eastAsia="es-ES"/>
        </w:rPr>
        <w:t xml:space="preserve"> particular ya no se adolece, </w:t>
      </w:r>
      <w:r w:rsidR="00806300" w:rsidRPr="00806300">
        <w:rPr>
          <w:rFonts w:ascii="Palatino Linotype" w:hAnsi="Palatino Linotype"/>
          <w:sz w:val="24"/>
          <w:lang w:eastAsia="es-MX"/>
        </w:rPr>
        <w:t xml:space="preserve">si bien </w:t>
      </w:r>
      <w:r w:rsidR="003151C7">
        <w:rPr>
          <w:rFonts w:ascii="Palatino Linotype" w:hAnsi="Palatino Linotype"/>
          <w:sz w:val="24"/>
          <w:lang w:eastAsia="es-MX"/>
        </w:rPr>
        <w:t>aporto información</w:t>
      </w:r>
      <w:r w:rsidR="00FA5C6A">
        <w:rPr>
          <w:rFonts w:ascii="Palatino Linotype" w:eastAsia="Calibri" w:hAnsi="Palatino Linotype" w:cs="Times New Roman"/>
          <w:sz w:val="24"/>
          <w:szCs w:val="24"/>
          <w:lang w:val="es-ES" w:eastAsia="es-ES"/>
        </w:rPr>
        <w:t xml:space="preserve">, </w:t>
      </w:r>
      <w:r w:rsidR="006107EB">
        <w:rPr>
          <w:rFonts w:ascii="Palatino Linotype" w:eastAsia="Calibri" w:hAnsi="Palatino Linotype" w:cs="Times New Roman"/>
          <w:sz w:val="24"/>
          <w:szCs w:val="24"/>
          <w:lang w:val="es-ES" w:eastAsia="es-ES"/>
        </w:rPr>
        <w:t xml:space="preserve">se debió entrar al análisis del asunto para </w:t>
      </w:r>
      <w:r w:rsidR="00FA5C6A">
        <w:rPr>
          <w:rFonts w:ascii="Palatino Linotype" w:eastAsia="Calibri" w:hAnsi="Palatino Linotype" w:cs="Times New Roman"/>
          <w:sz w:val="24"/>
          <w:szCs w:val="24"/>
          <w:lang w:val="es-ES" w:eastAsia="es-ES"/>
        </w:rPr>
        <w:t xml:space="preserve">determinar la procedencia de la información proporcionada, para determinar si se </w:t>
      </w:r>
      <w:r w:rsidR="00FA5C6A">
        <w:rPr>
          <w:rFonts w:ascii="Palatino Linotype" w:eastAsia="Calibri" w:hAnsi="Palatino Linotype" w:cs="Times New Roman"/>
          <w:sz w:val="24"/>
          <w:szCs w:val="24"/>
          <w:lang w:val="es-ES" w:eastAsia="es-ES"/>
        </w:rPr>
        <w:lastRenderedPageBreak/>
        <w:t>garantizó el derecho de acceso de</w:t>
      </w:r>
      <w:r w:rsidR="00AA69A7">
        <w:rPr>
          <w:rFonts w:ascii="Palatino Linotype" w:eastAsia="Calibri" w:hAnsi="Palatino Linotype" w:cs="Times New Roman"/>
          <w:sz w:val="24"/>
          <w:szCs w:val="24"/>
          <w:lang w:val="es-ES" w:eastAsia="es-ES"/>
        </w:rPr>
        <w:t xml:space="preserve"> </w:t>
      </w:r>
      <w:r w:rsidR="00FA5C6A">
        <w:rPr>
          <w:rFonts w:ascii="Palatino Linotype" w:eastAsia="Calibri" w:hAnsi="Palatino Linotype" w:cs="Times New Roman"/>
          <w:sz w:val="24"/>
          <w:szCs w:val="24"/>
          <w:lang w:val="es-ES" w:eastAsia="es-ES"/>
        </w:rPr>
        <w:t>l</w:t>
      </w:r>
      <w:r w:rsidR="00AA69A7">
        <w:rPr>
          <w:rFonts w:ascii="Palatino Linotype" w:eastAsia="Calibri" w:hAnsi="Palatino Linotype" w:cs="Times New Roman"/>
          <w:sz w:val="24"/>
          <w:szCs w:val="24"/>
          <w:lang w:val="es-ES" w:eastAsia="es-ES"/>
        </w:rPr>
        <w:t>a</w:t>
      </w:r>
      <w:r w:rsidR="00FA5C6A">
        <w:rPr>
          <w:rFonts w:ascii="Palatino Linotype" w:eastAsia="Calibri" w:hAnsi="Palatino Linotype" w:cs="Times New Roman"/>
          <w:sz w:val="24"/>
          <w:szCs w:val="24"/>
          <w:lang w:val="es-ES" w:eastAsia="es-ES"/>
        </w:rPr>
        <w:t xml:space="preserve"> particular</w:t>
      </w:r>
      <w:r w:rsidR="006107EB">
        <w:rPr>
          <w:rFonts w:ascii="Palatino Linotype" w:eastAsia="Calibri" w:hAnsi="Palatino Linotype" w:cs="Times New Roman"/>
          <w:sz w:val="24"/>
          <w:szCs w:val="24"/>
          <w:lang w:val="es-ES" w:eastAsia="es-ES"/>
        </w:rPr>
        <w:t xml:space="preserve">, además que,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 xml:space="preserve">s no limitarlo invocando el multicitado argumento de actos consentidos, ello sin considerar que la Ponencia Resolutora entró al estudio de fondo del asunto e inclusive determinó </w:t>
      </w:r>
      <w:r w:rsidR="004E70B6">
        <w:rPr>
          <w:rFonts w:ascii="Palatino Linotype" w:eastAsia="Calibri" w:hAnsi="Palatino Linotype" w:cs="Times New Roman"/>
          <w:b/>
          <w:sz w:val="24"/>
          <w:szCs w:val="24"/>
          <w:lang w:val="es-ES" w:eastAsia="es-ES"/>
        </w:rPr>
        <w:t>MODIFIC</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46491C" w:rsidRPr="0001046D" w:rsidRDefault="0046491C" w:rsidP="004D22FF">
      <w:pPr>
        <w:pStyle w:val="Ttulo1"/>
        <w:numPr>
          <w:ilvl w:val="0"/>
          <w:numId w:val="12"/>
        </w:numPr>
        <w:tabs>
          <w:tab w:val="left" w:pos="426"/>
        </w:tabs>
        <w:spacing w:line="360" w:lineRule="auto"/>
        <w:ind w:left="0" w:firstLine="0"/>
        <w:jc w:val="both"/>
        <w:rPr>
          <w:rFonts w:ascii="Palatino Linotype" w:hAnsi="Palatino Linotype"/>
          <w:b/>
          <w:color w:val="auto"/>
          <w:sz w:val="24"/>
          <w:szCs w:val="24"/>
        </w:rPr>
      </w:pPr>
      <w:bookmarkStart w:id="3" w:name="_Toc12635990"/>
      <w:r w:rsidRPr="0001046D">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4D1E11" w:rsidRDefault="0046491C" w:rsidP="00E34F08">
      <w:pPr>
        <w:pStyle w:val="Prrafodelista"/>
        <w:spacing w:after="0" w:line="360" w:lineRule="auto"/>
        <w:ind w:left="1080"/>
        <w:jc w:val="both"/>
        <w:rPr>
          <w:rFonts w:ascii="Palatino Linotype" w:hAnsi="Palatino Linotype" w:cs="Arial"/>
          <w:b/>
          <w:sz w:val="10"/>
          <w:szCs w:val="24"/>
        </w:rPr>
      </w:pPr>
    </w:p>
    <w:p w:rsidR="0046491C" w:rsidRPr="0001046D" w:rsidRDefault="0046491C" w:rsidP="004D22F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 xml:space="preserve">decide imponer las cargas formales del proceso jurisdiccional y, al mismo tiempo no asegura otros derechos, el de la defensa adecuada, por ejemplo, incumpliendo así con lo dispuesto en los artículos </w:t>
      </w:r>
      <w:r w:rsidRPr="0001046D">
        <w:rPr>
          <w:rFonts w:ascii="Palatino Linotype" w:hAnsi="Palatino Linotype" w:cs="Arial"/>
          <w:sz w:val="24"/>
          <w:szCs w:val="24"/>
        </w:rPr>
        <w:lastRenderedPageBreak/>
        <w:t>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4D1E11" w:rsidRDefault="0046491C" w:rsidP="00E34F08">
      <w:pPr>
        <w:spacing w:after="0" w:line="360" w:lineRule="auto"/>
        <w:jc w:val="both"/>
        <w:rPr>
          <w:rFonts w:ascii="Palatino Linotype" w:hAnsi="Palatino Linotype" w:cs="Arial"/>
          <w:sz w:val="12"/>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4D1E11" w:rsidRDefault="0046491C" w:rsidP="00E34F08">
      <w:pPr>
        <w:spacing w:after="0" w:line="360" w:lineRule="auto"/>
        <w:jc w:val="both"/>
        <w:rPr>
          <w:rFonts w:ascii="Palatino Linotype" w:hAnsi="Palatino Linotype" w:cs="Arial"/>
          <w:sz w:val="16"/>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w:t>
      </w:r>
      <w:r w:rsidR="00D41A74">
        <w:rPr>
          <w:rFonts w:ascii="Palatino Linotype" w:hAnsi="Palatino Linotype" w:cs="Arial"/>
          <w:sz w:val="24"/>
          <w:szCs w:val="24"/>
        </w:rPr>
        <w:t xml:space="preserve"> </w:t>
      </w:r>
      <w:r w:rsidRPr="0001046D">
        <w:rPr>
          <w:rFonts w:ascii="Palatino Linotype" w:hAnsi="Palatino Linotype" w:cs="Arial"/>
          <w:sz w:val="24"/>
          <w:szCs w:val="24"/>
        </w:rPr>
        <w:t>l</w:t>
      </w:r>
      <w:r w:rsidR="00D41A74">
        <w:rPr>
          <w:rFonts w:ascii="Palatino Linotype" w:hAnsi="Palatino Linotype" w:cs="Arial"/>
          <w:sz w:val="24"/>
          <w:szCs w:val="24"/>
        </w:rPr>
        <w:t>a</w:t>
      </w:r>
      <w:r w:rsidRPr="0001046D">
        <w:rPr>
          <w:rFonts w:ascii="Palatino Linotype" w:hAnsi="Palatino Linotype" w:cs="Arial"/>
          <w:sz w:val="24"/>
          <w:szCs w:val="24"/>
        </w:rPr>
        <w:t xml:space="preserve">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 xml:space="preserve">suponiendo en el peor de los casos, que en efecto, no se hubiera ordenado </w:t>
      </w:r>
      <w:r w:rsidRPr="0001046D">
        <w:rPr>
          <w:rFonts w:ascii="Palatino Linotype" w:hAnsi="Palatino Linotype" w:cs="Arial"/>
          <w:sz w:val="24"/>
          <w:szCs w:val="24"/>
        </w:rPr>
        <w:lastRenderedPageBreak/>
        <w:t>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4D1E11" w:rsidRDefault="00042ABC" w:rsidP="00042ABC">
      <w:pPr>
        <w:pStyle w:val="Prrafodelista"/>
        <w:spacing w:after="0" w:line="360" w:lineRule="auto"/>
        <w:ind w:left="0"/>
        <w:jc w:val="both"/>
        <w:rPr>
          <w:rFonts w:ascii="Palatino Linotype" w:hAnsi="Palatino Linotype" w:cs="Arial"/>
          <w:sz w:val="18"/>
          <w:szCs w:val="24"/>
        </w:rPr>
      </w:pPr>
    </w:p>
    <w:p w:rsidR="0046491C" w:rsidRPr="0001046D" w:rsidRDefault="00E6129E"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4D1E11" w:rsidRDefault="0046491C" w:rsidP="00E34F08">
      <w:pPr>
        <w:pStyle w:val="Prrafodelista"/>
        <w:spacing w:line="360" w:lineRule="auto"/>
        <w:jc w:val="both"/>
        <w:rPr>
          <w:rFonts w:ascii="Palatino Linotype" w:hAnsi="Palatino Linotype" w:cs="Arial"/>
          <w:sz w:val="16"/>
          <w:szCs w:val="24"/>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w:t>
      </w:r>
      <w:r w:rsidRPr="0001046D">
        <w:rPr>
          <w:rFonts w:ascii="Palatino Linotype" w:hAnsi="Palatino Linotype" w:cs="Arial"/>
          <w:sz w:val="24"/>
          <w:szCs w:val="24"/>
        </w:rPr>
        <w:lastRenderedPageBreak/>
        <w:t>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4D1E11" w:rsidRDefault="0046491C" w:rsidP="00E34F08">
      <w:pPr>
        <w:pStyle w:val="Prrafodelista"/>
        <w:spacing w:line="360" w:lineRule="auto"/>
        <w:jc w:val="both"/>
        <w:rPr>
          <w:rFonts w:ascii="Palatino Linotype" w:hAnsi="Palatino Linotype" w:cs="Arial"/>
          <w:sz w:val="16"/>
          <w:szCs w:val="24"/>
        </w:rPr>
      </w:pPr>
    </w:p>
    <w:p w:rsidR="00E6129E"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4D1E11" w:rsidRDefault="00DF6F7E" w:rsidP="00E34F08">
      <w:pPr>
        <w:pStyle w:val="Prrafodelista"/>
        <w:spacing w:line="360" w:lineRule="auto"/>
        <w:rPr>
          <w:rFonts w:ascii="Palatino Linotype" w:hAnsi="Palatino Linotype" w:cs="Arial"/>
          <w:sz w:val="12"/>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4D1E11" w:rsidRDefault="004A5486" w:rsidP="004A5486">
      <w:pPr>
        <w:pStyle w:val="Prrafodelista"/>
        <w:spacing w:after="0" w:line="360" w:lineRule="auto"/>
        <w:ind w:left="0"/>
        <w:jc w:val="both"/>
        <w:rPr>
          <w:rFonts w:ascii="Palatino Linotype" w:hAnsi="Palatino Linotype" w:cs="Arial"/>
          <w:sz w:val="10"/>
          <w:szCs w:val="24"/>
        </w:rPr>
      </w:pPr>
    </w:p>
    <w:p w:rsidR="0046491C" w:rsidRDefault="0046491C" w:rsidP="00F3161F">
      <w:pPr>
        <w:pStyle w:val="Sinespaciado"/>
        <w:spacing w:line="276" w:lineRule="auto"/>
        <w:ind w:left="567" w:right="616"/>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F90F3D">
        <w:rPr>
          <w:rFonts w:ascii="Palatino Linotype" w:hAnsi="Palatino Linotype"/>
          <w:i/>
        </w:rPr>
        <w:lastRenderedPageBreak/>
        <w:t>generados por la heterogeneidad y ocasionalidad de las presiones sociales que se ejercen sobre el mismo”.</w:t>
      </w:r>
      <w:r w:rsidRPr="00F90F3D">
        <w:rPr>
          <w:rStyle w:val="Refdenotaalpie"/>
          <w:rFonts w:ascii="Palatino Linotype" w:hAnsi="Palatino Linotype" w:cs="Arial"/>
          <w:i/>
        </w:rPr>
        <w:footnoteReference w:id="5"/>
      </w:r>
    </w:p>
    <w:p w:rsidR="004E70B6" w:rsidRPr="004D1E11" w:rsidRDefault="004E70B6" w:rsidP="00F3161F">
      <w:pPr>
        <w:pStyle w:val="Sinespaciado"/>
        <w:spacing w:line="276" w:lineRule="auto"/>
        <w:ind w:left="567" w:right="616"/>
        <w:jc w:val="both"/>
        <w:rPr>
          <w:rFonts w:ascii="Palatino Linotype" w:hAnsi="Palatino Linotype"/>
          <w:i/>
          <w:sz w:val="18"/>
        </w:rPr>
      </w:pPr>
    </w:p>
    <w:p w:rsidR="0046491C" w:rsidRPr="0001046D"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4D1E11" w:rsidRDefault="0046491C" w:rsidP="00E34F08">
      <w:pPr>
        <w:pStyle w:val="Prrafodelista"/>
        <w:spacing w:after="0" w:line="360" w:lineRule="auto"/>
        <w:ind w:left="426"/>
        <w:jc w:val="both"/>
        <w:rPr>
          <w:rFonts w:ascii="Palatino Linotype" w:hAnsi="Palatino Linotype" w:cs="Arial"/>
          <w:sz w:val="10"/>
          <w:szCs w:val="24"/>
        </w:rPr>
      </w:pPr>
    </w:p>
    <w:p w:rsidR="0046491C" w:rsidRPr="0001046D" w:rsidRDefault="0046491C" w:rsidP="004D22FF">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w:t>
      </w:r>
      <w:r w:rsidRPr="0001046D">
        <w:rPr>
          <w:rFonts w:ascii="Palatino Linotype" w:hAnsi="Palatino Linotype" w:cs="Arial"/>
          <w:sz w:val="24"/>
          <w:szCs w:val="24"/>
        </w:rPr>
        <w:lastRenderedPageBreak/>
        <w:t>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4D1E11" w:rsidRDefault="00DF6F7E" w:rsidP="00E34F08">
      <w:pPr>
        <w:pStyle w:val="Prrafodelista"/>
        <w:spacing w:line="360" w:lineRule="auto"/>
        <w:jc w:val="both"/>
        <w:rPr>
          <w:rFonts w:ascii="Palatino Linotype" w:hAnsi="Palatino Linotype" w:cs="Arial"/>
          <w:sz w:val="14"/>
          <w:szCs w:val="24"/>
        </w:rPr>
      </w:pPr>
    </w:p>
    <w:p w:rsidR="0046491C" w:rsidRDefault="0046491C" w:rsidP="004D22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3161F" w:rsidRDefault="00F3161F" w:rsidP="00F3161F">
      <w:pPr>
        <w:pStyle w:val="Prrafodelista"/>
        <w:spacing w:after="0" w:line="360" w:lineRule="auto"/>
        <w:ind w:left="0"/>
        <w:jc w:val="both"/>
        <w:rPr>
          <w:rFonts w:ascii="Palatino Linotype" w:hAnsi="Palatino Linotype" w:cs="Arial"/>
          <w:sz w:val="24"/>
          <w:szCs w:val="24"/>
        </w:rPr>
      </w:pPr>
    </w:p>
    <w:p w:rsidR="004D1E11" w:rsidRPr="0001046D" w:rsidRDefault="004D1E11" w:rsidP="00F3161F">
      <w:pPr>
        <w:pStyle w:val="Prrafodelista"/>
        <w:spacing w:after="0" w:line="360" w:lineRule="auto"/>
        <w:ind w:left="0"/>
        <w:jc w:val="both"/>
        <w:rPr>
          <w:rFonts w:ascii="Palatino Linotype" w:hAnsi="Palatino Linotype" w:cs="Arial"/>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950CBC" w:rsidRPr="0001046D" w:rsidRDefault="00950CBC" w:rsidP="00950CBC">
      <w:pPr>
        <w:spacing w:line="360" w:lineRule="auto"/>
        <w:jc w:val="center"/>
        <w:rPr>
          <w:rFonts w:ascii="Palatino Linotype" w:hAnsi="Palatino Linotype"/>
        </w:rPr>
      </w:pPr>
      <w:r>
        <w:rPr>
          <w:rFonts w:ascii="Palatino Linotype" w:hAnsi="Palatino Linotype"/>
          <w:b/>
          <w:sz w:val="24"/>
          <w:szCs w:val="24"/>
        </w:rPr>
        <w:t>(RÚBRICA)</w:t>
      </w:r>
    </w:p>
    <w:p w:rsidR="00527FD3" w:rsidRDefault="00527FD3" w:rsidP="00575478">
      <w:pPr>
        <w:spacing w:line="360" w:lineRule="auto"/>
        <w:rPr>
          <w:rFonts w:ascii="Palatino Linotype" w:hAnsi="Palatino Linotype"/>
          <w:b/>
          <w:sz w:val="24"/>
          <w:szCs w:val="24"/>
        </w:rPr>
      </w:pPr>
    </w:p>
    <w:p w:rsidR="003151C7" w:rsidRDefault="003151C7"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4B3" w:rsidRDefault="003A24B3" w:rsidP="00E706DA">
      <w:pPr>
        <w:spacing w:after="0" w:line="240" w:lineRule="auto"/>
      </w:pPr>
      <w:r>
        <w:separator/>
      </w:r>
    </w:p>
  </w:endnote>
  <w:endnote w:type="continuationSeparator" w:id="0">
    <w:p w:rsidR="003A24B3" w:rsidRDefault="003A24B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A24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7436B">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7436B">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3A24B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A24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4B3" w:rsidRDefault="003A24B3" w:rsidP="00E706DA">
      <w:pPr>
        <w:spacing w:after="0" w:line="240" w:lineRule="auto"/>
      </w:pPr>
      <w:r>
        <w:separator/>
      </w:r>
    </w:p>
  </w:footnote>
  <w:footnote w:type="continuationSeparator" w:id="0">
    <w:p w:rsidR="003A24B3" w:rsidRDefault="003A24B3"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A24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A24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3A24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A24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35E3076"/>
    <w:multiLevelType w:val="hybridMultilevel"/>
    <w:tmpl w:val="C46CFA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6C58BC"/>
    <w:multiLevelType w:val="hybridMultilevel"/>
    <w:tmpl w:val="4176B05E"/>
    <w:lvl w:ilvl="0" w:tplc="080A0005">
      <w:start w:val="1"/>
      <w:numFmt w:val="bullet"/>
      <w:lvlText w:val=""/>
      <w:lvlJc w:val="left"/>
      <w:pPr>
        <w:ind w:left="720" w:hanging="360"/>
      </w:pPr>
      <w:rPr>
        <w:rFonts w:ascii="Wingdings" w:hAnsi="Wingding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8"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130CA4"/>
    <w:multiLevelType w:val="hybridMultilevel"/>
    <w:tmpl w:val="3AD2DE64"/>
    <w:lvl w:ilvl="0" w:tplc="FE0E05B4">
      <w:start w:val="1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9"/>
  </w:num>
  <w:num w:numId="5">
    <w:abstractNumId w:val="10"/>
  </w:num>
  <w:num w:numId="6">
    <w:abstractNumId w:val="12"/>
  </w:num>
  <w:num w:numId="7">
    <w:abstractNumId w:val="15"/>
  </w:num>
  <w:num w:numId="8">
    <w:abstractNumId w:val="13"/>
  </w:num>
  <w:num w:numId="9">
    <w:abstractNumId w:val="17"/>
  </w:num>
  <w:num w:numId="10">
    <w:abstractNumId w:val="1"/>
  </w:num>
  <w:num w:numId="11">
    <w:abstractNumId w:val="16"/>
  </w:num>
  <w:num w:numId="12">
    <w:abstractNumId w:val="8"/>
  </w:num>
  <w:num w:numId="13">
    <w:abstractNumId w:val="3"/>
  </w:num>
  <w:num w:numId="14">
    <w:abstractNumId w:val="7"/>
  </w:num>
  <w:num w:numId="15">
    <w:abstractNumId w:val="14"/>
  </w:num>
  <w:num w:numId="16">
    <w:abstractNumId w:val="6"/>
  </w:num>
  <w:num w:numId="17">
    <w:abstractNumId w:val="18"/>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73F0D"/>
    <w:rsid w:val="000802F2"/>
    <w:rsid w:val="000951B4"/>
    <w:rsid w:val="000A71F1"/>
    <w:rsid w:val="000A77B5"/>
    <w:rsid w:val="000A7B66"/>
    <w:rsid w:val="000F6C81"/>
    <w:rsid w:val="000F6CBB"/>
    <w:rsid w:val="00105730"/>
    <w:rsid w:val="0011321E"/>
    <w:rsid w:val="00122625"/>
    <w:rsid w:val="00165FAD"/>
    <w:rsid w:val="00194B6A"/>
    <w:rsid w:val="001963CE"/>
    <w:rsid w:val="00196D5C"/>
    <w:rsid w:val="001B088A"/>
    <w:rsid w:val="001D3F34"/>
    <w:rsid w:val="001F692B"/>
    <w:rsid w:val="0020315F"/>
    <w:rsid w:val="002036ED"/>
    <w:rsid w:val="00222DD9"/>
    <w:rsid w:val="00225026"/>
    <w:rsid w:val="0025608F"/>
    <w:rsid w:val="00260D6C"/>
    <w:rsid w:val="002620E9"/>
    <w:rsid w:val="00281310"/>
    <w:rsid w:val="002C1F75"/>
    <w:rsid w:val="00302832"/>
    <w:rsid w:val="00303664"/>
    <w:rsid w:val="003151C7"/>
    <w:rsid w:val="00346DBD"/>
    <w:rsid w:val="00365516"/>
    <w:rsid w:val="00367E00"/>
    <w:rsid w:val="003705BB"/>
    <w:rsid w:val="003747A5"/>
    <w:rsid w:val="00374C8F"/>
    <w:rsid w:val="003837C2"/>
    <w:rsid w:val="003A24B3"/>
    <w:rsid w:val="003A74F5"/>
    <w:rsid w:val="003C5606"/>
    <w:rsid w:val="003D7B9E"/>
    <w:rsid w:val="00412952"/>
    <w:rsid w:val="00413496"/>
    <w:rsid w:val="004148A3"/>
    <w:rsid w:val="0042053E"/>
    <w:rsid w:val="00424DE3"/>
    <w:rsid w:val="00432402"/>
    <w:rsid w:val="00444048"/>
    <w:rsid w:val="004630B1"/>
    <w:rsid w:val="0046491C"/>
    <w:rsid w:val="00466F58"/>
    <w:rsid w:val="0048490F"/>
    <w:rsid w:val="0049456C"/>
    <w:rsid w:val="004A5486"/>
    <w:rsid w:val="004D1E11"/>
    <w:rsid w:val="004D22FF"/>
    <w:rsid w:val="004E70B6"/>
    <w:rsid w:val="004E7E43"/>
    <w:rsid w:val="004F5418"/>
    <w:rsid w:val="00520E18"/>
    <w:rsid w:val="00520F8E"/>
    <w:rsid w:val="005258C9"/>
    <w:rsid w:val="00527FD3"/>
    <w:rsid w:val="00532410"/>
    <w:rsid w:val="00541375"/>
    <w:rsid w:val="00550D3C"/>
    <w:rsid w:val="00563071"/>
    <w:rsid w:val="00574C52"/>
    <w:rsid w:val="00575478"/>
    <w:rsid w:val="005A3267"/>
    <w:rsid w:val="005A4C79"/>
    <w:rsid w:val="005C79C8"/>
    <w:rsid w:val="005D2F06"/>
    <w:rsid w:val="005F3760"/>
    <w:rsid w:val="005F4459"/>
    <w:rsid w:val="006107EB"/>
    <w:rsid w:val="00634736"/>
    <w:rsid w:val="00644249"/>
    <w:rsid w:val="00651380"/>
    <w:rsid w:val="00652F8C"/>
    <w:rsid w:val="006547A6"/>
    <w:rsid w:val="0066697C"/>
    <w:rsid w:val="006728FD"/>
    <w:rsid w:val="00673293"/>
    <w:rsid w:val="00675C07"/>
    <w:rsid w:val="0069498B"/>
    <w:rsid w:val="006C1E90"/>
    <w:rsid w:val="006D5F6A"/>
    <w:rsid w:val="006D7097"/>
    <w:rsid w:val="006E0B4D"/>
    <w:rsid w:val="006E2606"/>
    <w:rsid w:val="00703CB1"/>
    <w:rsid w:val="00717C0D"/>
    <w:rsid w:val="0072136B"/>
    <w:rsid w:val="00730A90"/>
    <w:rsid w:val="0076241F"/>
    <w:rsid w:val="00770016"/>
    <w:rsid w:val="0077644D"/>
    <w:rsid w:val="00790E37"/>
    <w:rsid w:val="0079281E"/>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8F4F39"/>
    <w:rsid w:val="00900E75"/>
    <w:rsid w:val="00902248"/>
    <w:rsid w:val="009156AC"/>
    <w:rsid w:val="00927785"/>
    <w:rsid w:val="009340EF"/>
    <w:rsid w:val="00937D7D"/>
    <w:rsid w:val="00941370"/>
    <w:rsid w:val="0094239C"/>
    <w:rsid w:val="009457EF"/>
    <w:rsid w:val="0095013C"/>
    <w:rsid w:val="00950CBC"/>
    <w:rsid w:val="00957C61"/>
    <w:rsid w:val="009649F8"/>
    <w:rsid w:val="009721E5"/>
    <w:rsid w:val="00983F08"/>
    <w:rsid w:val="00997A9C"/>
    <w:rsid w:val="009B4E7D"/>
    <w:rsid w:val="009C4EF6"/>
    <w:rsid w:val="00A01967"/>
    <w:rsid w:val="00A172C6"/>
    <w:rsid w:val="00A339ED"/>
    <w:rsid w:val="00A57BE6"/>
    <w:rsid w:val="00A63717"/>
    <w:rsid w:val="00A71441"/>
    <w:rsid w:val="00AA441A"/>
    <w:rsid w:val="00AA49F3"/>
    <w:rsid w:val="00AA69A7"/>
    <w:rsid w:val="00AB023D"/>
    <w:rsid w:val="00AB126B"/>
    <w:rsid w:val="00AC17F8"/>
    <w:rsid w:val="00AC23C9"/>
    <w:rsid w:val="00AC381E"/>
    <w:rsid w:val="00AC64C5"/>
    <w:rsid w:val="00AE4797"/>
    <w:rsid w:val="00AE58DA"/>
    <w:rsid w:val="00AF09B6"/>
    <w:rsid w:val="00AF73BC"/>
    <w:rsid w:val="00B02A47"/>
    <w:rsid w:val="00B120CA"/>
    <w:rsid w:val="00B25A37"/>
    <w:rsid w:val="00B33FD9"/>
    <w:rsid w:val="00B62486"/>
    <w:rsid w:val="00B6406E"/>
    <w:rsid w:val="00BC7968"/>
    <w:rsid w:val="00BC7B0C"/>
    <w:rsid w:val="00BF3534"/>
    <w:rsid w:val="00C06207"/>
    <w:rsid w:val="00C330CF"/>
    <w:rsid w:val="00C364AB"/>
    <w:rsid w:val="00CD59CB"/>
    <w:rsid w:val="00CE0823"/>
    <w:rsid w:val="00D157E6"/>
    <w:rsid w:val="00D33AF9"/>
    <w:rsid w:val="00D363F7"/>
    <w:rsid w:val="00D41A74"/>
    <w:rsid w:val="00D72985"/>
    <w:rsid w:val="00D7436B"/>
    <w:rsid w:val="00D7508B"/>
    <w:rsid w:val="00D971E3"/>
    <w:rsid w:val="00DA6B18"/>
    <w:rsid w:val="00DB04F1"/>
    <w:rsid w:val="00DF6F7E"/>
    <w:rsid w:val="00E27BC5"/>
    <w:rsid w:val="00E30CD7"/>
    <w:rsid w:val="00E34F08"/>
    <w:rsid w:val="00E35329"/>
    <w:rsid w:val="00E361CB"/>
    <w:rsid w:val="00E47420"/>
    <w:rsid w:val="00E6129E"/>
    <w:rsid w:val="00E61AB8"/>
    <w:rsid w:val="00E706DA"/>
    <w:rsid w:val="00E72418"/>
    <w:rsid w:val="00E83E93"/>
    <w:rsid w:val="00E90EB5"/>
    <w:rsid w:val="00E94FBF"/>
    <w:rsid w:val="00EA2C08"/>
    <w:rsid w:val="00EB394B"/>
    <w:rsid w:val="00ED288D"/>
    <w:rsid w:val="00ED57EE"/>
    <w:rsid w:val="00EE5592"/>
    <w:rsid w:val="00EF0C2D"/>
    <w:rsid w:val="00F13C60"/>
    <w:rsid w:val="00F25783"/>
    <w:rsid w:val="00F26DF1"/>
    <w:rsid w:val="00F3161F"/>
    <w:rsid w:val="00F352FD"/>
    <w:rsid w:val="00F45161"/>
    <w:rsid w:val="00F45408"/>
    <w:rsid w:val="00F46E78"/>
    <w:rsid w:val="00F618FA"/>
    <w:rsid w:val="00F7345F"/>
    <w:rsid w:val="00F857BC"/>
    <w:rsid w:val="00F90F3D"/>
    <w:rsid w:val="00FA5C6A"/>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E42DB5C-C6E2-445B-A632-08B04172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AA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3320</Words>
  <Characters>18263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2019-06-28T23:54:00Z</cp:lastPrinted>
  <dcterms:created xsi:type="dcterms:W3CDTF">2019-08-21T00:03:00Z</dcterms:created>
  <dcterms:modified xsi:type="dcterms:W3CDTF">2019-08-21T00:03:00Z</dcterms:modified>
</cp:coreProperties>
</file>